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5C2F3" w14:textId="49905DAE" w:rsidR="00CB3A1B" w:rsidRPr="00CB3A1B" w:rsidRDefault="00CB3A1B" w:rsidP="00CB3A1B">
      <w:pPr>
        <w:spacing w:after="0" w:line="240" w:lineRule="auto"/>
        <w:jc w:val="center"/>
        <w:rPr>
          <w:rFonts w:ascii="Arial" w:hAnsi="Arial" w:cs="Arial"/>
          <w:b/>
          <w:bCs/>
          <w:sz w:val="36"/>
          <w:szCs w:val="36"/>
        </w:rPr>
      </w:pPr>
      <w:r w:rsidRPr="00CB3A1B">
        <w:rPr>
          <w:rFonts w:ascii="Arial" w:hAnsi="Arial" w:cs="Arial"/>
          <w:b/>
          <w:bCs/>
          <w:sz w:val="36"/>
          <w:szCs w:val="36"/>
        </w:rPr>
        <w:t>Guidance DG (ii)</w:t>
      </w:r>
    </w:p>
    <w:p w14:paraId="64DC8002" w14:textId="77777777" w:rsidR="00CB3A1B" w:rsidRPr="00CB3A1B" w:rsidRDefault="00CB3A1B" w:rsidP="00CB3A1B">
      <w:pPr>
        <w:spacing w:after="0" w:line="240" w:lineRule="auto"/>
        <w:jc w:val="center"/>
        <w:rPr>
          <w:rFonts w:ascii="Arial" w:hAnsi="Arial" w:cs="Arial"/>
          <w:b/>
          <w:bCs/>
          <w:sz w:val="36"/>
          <w:szCs w:val="36"/>
        </w:rPr>
      </w:pPr>
    </w:p>
    <w:p w14:paraId="3BA61926" w14:textId="3C74B8A6" w:rsidR="004C71B2" w:rsidRPr="00CB3A1B" w:rsidRDefault="004C71B2" w:rsidP="00CB3A1B">
      <w:pPr>
        <w:spacing w:after="0" w:line="240" w:lineRule="auto"/>
        <w:jc w:val="center"/>
        <w:rPr>
          <w:rFonts w:ascii="Arial" w:hAnsi="Arial" w:cs="Arial"/>
          <w:b/>
          <w:bCs/>
          <w:sz w:val="36"/>
          <w:szCs w:val="36"/>
        </w:rPr>
      </w:pPr>
      <w:r w:rsidRPr="00CB3A1B">
        <w:rPr>
          <w:rFonts w:ascii="Arial" w:hAnsi="Arial" w:cs="Arial"/>
          <w:b/>
          <w:bCs/>
          <w:sz w:val="36"/>
          <w:szCs w:val="36"/>
        </w:rPr>
        <w:t>Guidance on the Department Module Review Forum</w:t>
      </w:r>
    </w:p>
    <w:p w14:paraId="6E1F8FA2" w14:textId="77777777" w:rsidR="004C71B2" w:rsidRPr="009E377D" w:rsidRDefault="004C71B2" w:rsidP="004C71B2">
      <w:pPr>
        <w:spacing w:after="0" w:line="240" w:lineRule="auto"/>
        <w:rPr>
          <w:rFonts w:ascii="Arial" w:hAnsi="Arial" w:cs="Arial"/>
        </w:rPr>
      </w:pPr>
    </w:p>
    <w:p w14:paraId="4BD628F8"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b/>
          <w:bCs/>
          <w:sz w:val="24"/>
          <w:szCs w:val="24"/>
        </w:rPr>
        <w:t>Timing</w:t>
      </w:r>
      <w:r w:rsidRPr="005E40E9">
        <w:rPr>
          <w:rFonts w:ascii="Arial" w:hAnsi="Arial" w:cs="Arial"/>
          <w:sz w:val="24"/>
          <w:szCs w:val="24"/>
        </w:rPr>
        <w:t>: to be held by the end of June each year</w:t>
      </w:r>
    </w:p>
    <w:p w14:paraId="71EE9A51"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b/>
          <w:bCs/>
          <w:sz w:val="24"/>
          <w:szCs w:val="24"/>
        </w:rPr>
        <w:t>Membership</w:t>
      </w:r>
      <w:r w:rsidRPr="005E40E9">
        <w:rPr>
          <w:rFonts w:ascii="Arial" w:hAnsi="Arial" w:cs="Arial"/>
          <w:sz w:val="24"/>
          <w:szCs w:val="24"/>
        </w:rPr>
        <w:t>: Head of Department (Chair), Course Leaders, Module Leaders, members of the module teaching team (as appropriate)</w:t>
      </w:r>
    </w:p>
    <w:p w14:paraId="69A308AA" w14:textId="77777777" w:rsidR="004C71B2" w:rsidRPr="005E40E9" w:rsidRDefault="004C71B2" w:rsidP="004C71B2">
      <w:pPr>
        <w:spacing w:after="0" w:line="240" w:lineRule="auto"/>
        <w:rPr>
          <w:rFonts w:ascii="Arial" w:hAnsi="Arial" w:cs="Arial"/>
          <w:sz w:val="24"/>
          <w:szCs w:val="24"/>
        </w:rPr>
      </w:pPr>
    </w:p>
    <w:p w14:paraId="2E9049AF"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The Department Module Review Forum provides a formal opportunity for department level reflection on the most recent delivery of modules and to identify actions to address specific challenges, and to enhance student outcomes and the student experience.</w:t>
      </w:r>
    </w:p>
    <w:p w14:paraId="706795F0" w14:textId="77777777" w:rsidR="004C71B2" w:rsidRPr="005E40E9" w:rsidRDefault="004C71B2" w:rsidP="004C71B2">
      <w:pPr>
        <w:spacing w:after="0" w:line="240" w:lineRule="auto"/>
        <w:rPr>
          <w:rFonts w:ascii="Arial" w:hAnsi="Arial" w:cs="Arial"/>
          <w:sz w:val="24"/>
          <w:szCs w:val="24"/>
        </w:rPr>
      </w:pPr>
    </w:p>
    <w:p w14:paraId="50F01072"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 xml:space="preserve">The Department Module Review Forum should consider a wide range of evidence, including data available via dashboards on Data Insight, assessment outcomes, student feedback, feedback from the teaching team, and comments from external examiners, employers and Professional, Statutory and Regulatory Bodies (PSRBs), where appropriate. </w:t>
      </w:r>
    </w:p>
    <w:p w14:paraId="24B3D3C9" w14:textId="77777777" w:rsidR="004C71B2" w:rsidRPr="005E40E9" w:rsidRDefault="004C71B2" w:rsidP="004C71B2">
      <w:pPr>
        <w:spacing w:after="0" w:line="240" w:lineRule="auto"/>
        <w:rPr>
          <w:rFonts w:ascii="Arial" w:hAnsi="Arial" w:cs="Arial"/>
          <w:sz w:val="24"/>
          <w:szCs w:val="24"/>
        </w:rPr>
      </w:pPr>
    </w:p>
    <w:p w14:paraId="21D08EDA"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This is not an exhaustive list, but the following sources of evidence should be considered:</w:t>
      </w:r>
    </w:p>
    <w:p w14:paraId="590509F3" w14:textId="77777777" w:rsidR="004C71B2" w:rsidRPr="005E40E9" w:rsidRDefault="004C71B2" w:rsidP="004C71B2">
      <w:pPr>
        <w:pStyle w:val="ListParagraph"/>
        <w:numPr>
          <w:ilvl w:val="0"/>
          <w:numId w:val="1"/>
        </w:numPr>
        <w:spacing w:after="0" w:line="240" w:lineRule="auto"/>
        <w:rPr>
          <w:rFonts w:ascii="Arial" w:hAnsi="Arial" w:cs="Arial"/>
          <w:sz w:val="24"/>
          <w:szCs w:val="24"/>
        </w:rPr>
      </w:pPr>
      <w:r w:rsidRPr="005E40E9">
        <w:rPr>
          <w:rFonts w:ascii="Arial" w:hAnsi="Arial" w:cs="Arial"/>
          <w:sz w:val="24"/>
          <w:szCs w:val="24"/>
        </w:rPr>
        <w:t>Pass at first attempt</w:t>
      </w:r>
    </w:p>
    <w:p w14:paraId="315B976E" w14:textId="77777777" w:rsidR="004C71B2" w:rsidRPr="005E40E9" w:rsidRDefault="004C71B2" w:rsidP="004C71B2">
      <w:pPr>
        <w:pStyle w:val="ListParagraph"/>
        <w:numPr>
          <w:ilvl w:val="0"/>
          <w:numId w:val="1"/>
        </w:numPr>
        <w:spacing w:after="0" w:line="240" w:lineRule="auto"/>
        <w:rPr>
          <w:rFonts w:ascii="Arial" w:hAnsi="Arial" w:cs="Arial"/>
          <w:sz w:val="24"/>
          <w:szCs w:val="24"/>
        </w:rPr>
      </w:pPr>
      <w:r w:rsidRPr="005E40E9">
        <w:rPr>
          <w:rFonts w:ascii="Arial" w:hAnsi="Arial" w:cs="Arial"/>
          <w:sz w:val="24"/>
          <w:szCs w:val="24"/>
        </w:rPr>
        <w:t>Average marks</w:t>
      </w:r>
    </w:p>
    <w:p w14:paraId="21CD1CDF" w14:textId="77777777" w:rsidR="004C71B2" w:rsidRPr="005E40E9" w:rsidRDefault="004C71B2" w:rsidP="004C71B2">
      <w:pPr>
        <w:pStyle w:val="ListParagraph"/>
        <w:numPr>
          <w:ilvl w:val="0"/>
          <w:numId w:val="1"/>
        </w:numPr>
        <w:spacing w:after="0" w:line="240" w:lineRule="auto"/>
        <w:rPr>
          <w:rFonts w:ascii="Arial" w:hAnsi="Arial" w:cs="Arial"/>
          <w:sz w:val="24"/>
          <w:szCs w:val="24"/>
        </w:rPr>
      </w:pPr>
      <w:r w:rsidRPr="005E40E9">
        <w:rPr>
          <w:rFonts w:ascii="Arial" w:hAnsi="Arial" w:cs="Arial"/>
          <w:sz w:val="24"/>
          <w:szCs w:val="24"/>
        </w:rPr>
        <w:t>Demographic data</w:t>
      </w:r>
    </w:p>
    <w:p w14:paraId="54D95C8B" w14:textId="77777777" w:rsidR="004C71B2" w:rsidRPr="005E40E9" w:rsidRDefault="004C71B2" w:rsidP="004C71B2">
      <w:pPr>
        <w:pStyle w:val="ListParagraph"/>
        <w:numPr>
          <w:ilvl w:val="0"/>
          <w:numId w:val="1"/>
        </w:numPr>
        <w:spacing w:after="0" w:line="240" w:lineRule="auto"/>
        <w:rPr>
          <w:rFonts w:ascii="Arial" w:hAnsi="Arial" w:cs="Arial"/>
          <w:sz w:val="24"/>
          <w:szCs w:val="24"/>
        </w:rPr>
      </w:pPr>
      <w:r w:rsidRPr="005E40E9">
        <w:rPr>
          <w:rFonts w:ascii="Arial" w:hAnsi="Arial" w:cs="Arial"/>
          <w:sz w:val="24"/>
          <w:szCs w:val="24"/>
        </w:rPr>
        <w:t>Feedback from Early Module Review (EMR)</w:t>
      </w:r>
    </w:p>
    <w:p w14:paraId="31C02FEA" w14:textId="77777777" w:rsidR="004C71B2" w:rsidRPr="005E40E9" w:rsidRDefault="004C71B2" w:rsidP="004C71B2">
      <w:pPr>
        <w:pStyle w:val="ListParagraph"/>
        <w:numPr>
          <w:ilvl w:val="0"/>
          <w:numId w:val="1"/>
        </w:numPr>
        <w:spacing w:after="0" w:line="240" w:lineRule="auto"/>
        <w:rPr>
          <w:rFonts w:ascii="Arial" w:hAnsi="Arial" w:cs="Arial"/>
          <w:sz w:val="24"/>
          <w:szCs w:val="24"/>
        </w:rPr>
      </w:pPr>
      <w:r w:rsidRPr="005E40E9">
        <w:rPr>
          <w:rFonts w:ascii="Arial" w:hAnsi="Arial" w:cs="Arial"/>
          <w:sz w:val="24"/>
          <w:szCs w:val="24"/>
        </w:rPr>
        <w:t>Module Evaluation Questionnaire (MEQ) outcomes</w:t>
      </w:r>
    </w:p>
    <w:p w14:paraId="34FB01AB" w14:textId="77777777" w:rsidR="004C71B2" w:rsidRPr="005E40E9" w:rsidRDefault="004C71B2" w:rsidP="004C71B2">
      <w:pPr>
        <w:pStyle w:val="ListParagraph"/>
        <w:numPr>
          <w:ilvl w:val="0"/>
          <w:numId w:val="1"/>
        </w:numPr>
        <w:spacing w:after="0" w:line="240" w:lineRule="auto"/>
        <w:rPr>
          <w:rFonts w:ascii="Arial" w:hAnsi="Arial" w:cs="Arial"/>
          <w:sz w:val="24"/>
          <w:szCs w:val="24"/>
        </w:rPr>
      </w:pPr>
      <w:r w:rsidRPr="005E40E9">
        <w:rPr>
          <w:rFonts w:ascii="Arial" w:hAnsi="Arial" w:cs="Arial"/>
          <w:sz w:val="24"/>
          <w:szCs w:val="24"/>
        </w:rPr>
        <w:t>Feedback from Student Voice Committees</w:t>
      </w:r>
    </w:p>
    <w:p w14:paraId="1C7BD8E9" w14:textId="77777777" w:rsidR="004C71B2" w:rsidRPr="005E40E9" w:rsidRDefault="004C71B2" w:rsidP="004C71B2">
      <w:pPr>
        <w:pStyle w:val="ListParagraph"/>
        <w:numPr>
          <w:ilvl w:val="0"/>
          <w:numId w:val="1"/>
        </w:numPr>
        <w:spacing w:after="0" w:line="240" w:lineRule="auto"/>
        <w:rPr>
          <w:rFonts w:ascii="Arial" w:hAnsi="Arial" w:cs="Arial"/>
          <w:sz w:val="24"/>
          <w:szCs w:val="24"/>
        </w:rPr>
      </w:pPr>
      <w:r w:rsidRPr="005E40E9">
        <w:rPr>
          <w:rFonts w:ascii="Arial" w:hAnsi="Arial" w:cs="Arial"/>
          <w:sz w:val="24"/>
          <w:szCs w:val="24"/>
        </w:rPr>
        <w:t>Student attendance</w:t>
      </w:r>
    </w:p>
    <w:p w14:paraId="563D29AD" w14:textId="77777777" w:rsidR="004C71B2" w:rsidRPr="005E40E9" w:rsidRDefault="004C71B2" w:rsidP="004C71B2">
      <w:pPr>
        <w:pStyle w:val="ListParagraph"/>
        <w:numPr>
          <w:ilvl w:val="0"/>
          <w:numId w:val="1"/>
        </w:numPr>
        <w:spacing w:after="0" w:line="240" w:lineRule="auto"/>
        <w:rPr>
          <w:rFonts w:ascii="Arial" w:hAnsi="Arial" w:cs="Arial"/>
          <w:sz w:val="24"/>
          <w:szCs w:val="24"/>
        </w:rPr>
      </w:pPr>
      <w:r w:rsidRPr="005E40E9">
        <w:rPr>
          <w:rFonts w:ascii="Arial" w:hAnsi="Arial" w:cs="Arial"/>
          <w:sz w:val="24"/>
          <w:szCs w:val="24"/>
        </w:rPr>
        <w:t>Previous year’s Module Enhancement Plan (MEP)</w:t>
      </w:r>
    </w:p>
    <w:p w14:paraId="0374B32F" w14:textId="77777777" w:rsidR="004C71B2" w:rsidRPr="005E40E9" w:rsidRDefault="004C71B2" w:rsidP="004C71B2">
      <w:pPr>
        <w:spacing w:after="0" w:line="240" w:lineRule="auto"/>
        <w:rPr>
          <w:rFonts w:ascii="Arial" w:hAnsi="Arial" w:cs="Arial"/>
          <w:sz w:val="24"/>
          <w:szCs w:val="24"/>
        </w:rPr>
      </w:pPr>
    </w:p>
    <w:p w14:paraId="2F0AC3AE" w14:textId="77777777" w:rsidR="004C71B2" w:rsidRPr="005E40E9" w:rsidRDefault="004C71B2" w:rsidP="004C71B2">
      <w:pPr>
        <w:spacing w:after="0" w:line="240" w:lineRule="auto"/>
        <w:rPr>
          <w:rFonts w:ascii="Arial" w:hAnsi="Arial" w:cs="Arial"/>
          <w:sz w:val="24"/>
          <w:szCs w:val="24"/>
        </w:rPr>
      </w:pPr>
    </w:p>
    <w:p w14:paraId="4B01A721" w14:textId="53938AB2"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The MEP and Module Hub dashboard</w:t>
      </w:r>
      <w:r w:rsidR="00E05B13" w:rsidRPr="005E40E9">
        <w:rPr>
          <w:rFonts w:ascii="Arial" w:hAnsi="Arial" w:cs="Arial"/>
          <w:sz w:val="24"/>
          <w:szCs w:val="24"/>
        </w:rPr>
        <w:t xml:space="preserve"> (</w:t>
      </w:r>
      <w:hyperlink r:id="rId10" w:anchor="/site/kudatainsight/workbooks/2547277/views" w:history="1">
        <w:r w:rsidR="00E05B13" w:rsidRPr="005E40E9">
          <w:rPr>
            <w:rStyle w:val="Hyperlink"/>
            <w:rFonts w:ascii="Arial" w:hAnsi="Arial" w:cs="Arial"/>
            <w:sz w:val="24"/>
            <w:szCs w:val="24"/>
          </w:rPr>
          <w:t>- MEP &amp; Module Hub: Views - Tableau Cloud</w:t>
        </w:r>
      </w:hyperlink>
      <w:r w:rsidR="00E05B13" w:rsidRPr="005E40E9">
        <w:rPr>
          <w:rFonts w:ascii="Arial" w:hAnsi="Arial" w:cs="Arial"/>
          <w:sz w:val="24"/>
          <w:szCs w:val="24"/>
        </w:rPr>
        <w:t>)</w:t>
      </w:r>
      <w:r w:rsidRPr="005E40E9">
        <w:rPr>
          <w:rFonts w:ascii="Arial" w:hAnsi="Arial" w:cs="Arial"/>
          <w:sz w:val="24"/>
          <w:szCs w:val="24"/>
        </w:rPr>
        <w:t xml:space="preserve"> is being refreshed to support the module review. It is available here [</w:t>
      </w:r>
      <w:r w:rsidR="00E05B13" w:rsidRPr="005E40E9">
        <w:rPr>
          <w:rFonts w:ascii="Arial" w:hAnsi="Arial" w:cs="Arial"/>
          <w:color w:val="C00000"/>
          <w:sz w:val="24"/>
          <w:szCs w:val="24"/>
        </w:rPr>
        <w:t xml:space="preserve">new </w:t>
      </w:r>
      <w:r w:rsidRPr="005E40E9">
        <w:rPr>
          <w:rFonts w:ascii="Arial" w:hAnsi="Arial" w:cs="Arial"/>
          <w:color w:val="C00000"/>
          <w:sz w:val="24"/>
          <w:szCs w:val="24"/>
        </w:rPr>
        <w:t xml:space="preserve">link </w:t>
      </w:r>
      <w:r w:rsidR="007B2214" w:rsidRPr="005E40E9">
        <w:rPr>
          <w:rFonts w:ascii="Arial" w:hAnsi="Arial" w:cs="Arial"/>
          <w:color w:val="C00000"/>
          <w:sz w:val="24"/>
          <w:szCs w:val="24"/>
        </w:rPr>
        <w:t>will be provided</w:t>
      </w:r>
      <w:r w:rsidRPr="005E40E9">
        <w:rPr>
          <w:rFonts w:ascii="Arial" w:hAnsi="Arial" w:cs="Arial"/>
          <w:color w:val="C00000"/>
          <w:sz w:val="24"/>
          <w:szCs w:val="24"/>
        </w:rPr>
        <w:t xml:space="preserve"> asap</w:t>
      </w:r>
      <w:r w:rsidRPr="005E40E9">
        <w:rPr>
          <w:rFonts w:ascii="Arial" w:hAnsi="Arial" w:cs="Arial"/>
          <w:sz w:val="24"/>
          <w:szCs w:val="24"/>
        </w:rPr>
        <w:t xml:space="preserve">]. While MEPs are pre-populated with some data, this only relates to one academic year and, therefore, it is important that dashboards are utilised in order to identify trends and to review demographic information. </w:t>
      </w:r>
    </w:p>
    <w:p w14:paraId="19756A51" w14:textId="77777777" w:rsidR="004C71B2" w:rsidRPr="005E40E9" w:rsidRDefault="004C71B2" w:rsidP="004C71B2">
      <w:pPr>
        <w:spacing w:after="0" w:line="240" w:lineRule="auto"/>
        <w:rPr>
          <w:rFonts w:ascii="Arial" w:hAnsi="Arial" w:cs="Arial"/>
          <w:sz w:val="24"/>
          <w:szCs w:val="24"/>
        </w:rPr>
      </w:pPr>
    </w:p>
    <w:p w14:paraId="487C6A49"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The Department Module Review Forum should reflect on what went well with each module and the reasons for this, and what requires improvement. The outcomes for different student groups in the context of known awarding gaps should also be considered</w:t>
      </w:r>
    </w:p>
    <w:p w14:paraId="68064996" w14:textId="77777777" w:rsidR="004C71B2" w:rsidRPr="005E40E9" w:rsidRDefault="004C71B2" w:rsidP="004C71B2">
      <w:pPr>
        <w:spacing w:after="0" w:line="240" w:lineRule="auto"/>
        <w:rPr>
          <w:rFonts w:ascii="Arial" w:hAnsi="Arial" w:cs="Arial"/>
          <w:sz w:val="24"/>
          <w:szCs w:val="24"/>
        </w:rPr>
      </w:pPr>
    </w:p>
    <w:p w14:paraId="5441DBE1"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Questions to consider include:</w:t>
      </w:r>
    </w:p>
    <w:p w14:paraId="7D9D1F26"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Are there any notable trends in student performance? What are the reasons for this?</w:t>
      </w:r>
    </w:p>
    <w:p w14:paraId="0FC101E6" w14:textId="112CA9C8"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Are students from different courses getting differential outcomes? If so</w:t>
      </w:r>
      <w:r w:rsidR="00A21A94" w:rsidRPr="005E40E9">
        <w:rPr>
          <w:rFonts w:ascii="Arial" w:hAnsi="Arial" w:cs="Arial"/>
          <w:sz w:val="24"/>
          <w:szCs w:val="24"/>
        </w:rPr>
        <w:t>,</w:t>
      </w:r>
      <w:r w:rsidRPr="005E40E9">
        <w:rPr>
          <w:rFonts w:ascii="Arial" w:hAnsi="Arial" w:cs="Arial"/>
          <w:sz w:val="24"/>
          <w:szCs w:val="24"/>
        </w:rPr>
        <w:t xml:space="preserve"> what are the reasons for that.</w:t>
      </w:r>
    </w:p>
    <w:p w14:paraId="7A72893A"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lastRenderedPageBreak/>
        <w:t>Are the outcomes of students equitable (are there any groups of students that do not pass at first attempt, for example)</w:t>
      </w:r>
    </w:p>
    <w:p w14:paraId="17076A83"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Are the demographics changing over time? What might this mean, for example, with regard to teaching practices? What support might need to be put in place for these students?</w:t>
      </w:r>
    </w:p>
    <w:p w14:paraId="128DE18F"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How effective were teaching and learning practices</w:t>
      </w:r>
    </w:p>
    <w:p w14:paraId="6812E6BD"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How effective was feedback to students on their assessments</w:t>
      </w:r>
    </w:p>
    <w:p w14:paraId="382ADEEA"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What have students said about the module and what actions have been taken in response to their feedback</w:t>
      </w:r>
    </w:p>
    <w:p w14:paraId="5FB69351"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How has the feedback loop to students been closed</w:t>
      </w:r>
    </w:p>
    <w:p w14:paraId="7A3E823C"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How have the actions identified in the previous year’s MEPs been taken forward. What was the impact of these actions</w:t>
      </w:r>
    </w:p>
    <w:p w14:paraId="4B1722A5"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Were there any particular challenges? Were these unique to a particular module or group of students</w:t>
      </w:r>
    </w:p>
    <w:p w14:paraId="5198EEAE"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Are any changes to the module needed*</w:t>
      </w:r>
    </w:p>
    <w:p w14:paraId="730961C6" w14:textId="77777777" w:rsidR="004C71B2" w:rsidRPr="005E40E9" w:rsidRDefault="004C71B2" w:rsidP="004C71B2">
      <w:pPr>
        <w:pStyle w:val="ListParagraph"/>
        <w:numPr>
          <w:ilvl w:val="0"/>
          <w:numId w:val="2"/>
        </w:numPr>
        <w:spacing w:after="0" w:line="240" w:lineRule="auto"/>
        <w:rPr>
          <w:rFonts w:ascii="Arial" w:hAnsi="Arial" w:cs="Arial"/>
          <w:sz w:val="24"/>
          <w:szCs w:val="24"/>
        </w:rPr>
      </w:pPr>
      <w:r w:rsidRPr="005E40E9">
        <w:rPr>
          <w:rFonts w:ascii="Arial" w:hAnsi="Arial" w:cs="Arial"/>
          <w:sz w:val="24"/>
          <w:szCs w:val="24"/>
        </w:rPr>
        <w:t>What good practice can be identified – how can this be shared across the module team and wider department</w:t>
      </w:r>
    </w:p>
    <w:p w14:paraId="49F8DD98" w14:textId="77777777" w:rsidR="004C71B2" w:rsidRPr="005E40E9" w:rsidRDefault="004C71B2" w:rsidP="004C71B2">
      <w:pPr>
        <w:spacing w:after="0" w:line="240" w:lineRule="auto"/>
        <w:rPr>
          <w:rFonts w:ascii="Arial" w:hAnsi="Arial" w:cs="Arial"/>
          <w:sz w:val="24"/>
          <w:szCs w:val="24"/>
        </w:rPr>
      </w:pPr>
    </w:p>
    <w:p w14:paraId="6B59E303"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w:t>
      </w:r>
      <w:r w:rsidRPr="005E40E9">
        <w:rPr>
          <w:rFonts w:ascii="Arial" w:hAnsi="Arial" w:cs="Arial"/>
          <w:i/>
          <w:iCs/>
          <w:sz w:val="24"/>
          <w:szCs w:val="24"/>
        </w:rPr>
        <w:t xml:space="preserve">Note: The focus should be on identifying actions that can be implemented with immediate effect as these do not require a formal change to the module through the Course Modification Panel (CMP). Course teams should consider areas of practice and how those can be enhanced. </w:t>
      </w:r>
    </w:p>
    <w:p w14:paraId="7266DF46" w14:textId="77777777" w:rsidR="004C71B2" w:rsidRPr="005E40E9" w:rsidRDefault="004C71B2" w:rsidP="004C71B2">
      <w:pPr>
        <w:spacing w:after="0" w:line="240" w:lineRule="auto"/>
        <w:rPr>
          <w:rFonts w:ascii="Arial" w:hAnsi="Arial" w:cs="Arial"/>
          <w:sz w:val="24"/>
          <w:szCs w:val="24"/>
        </w:rPr>
      </w:pPr>
    </w:p>
    <w:p w14:paraId="6F9083ED"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In addition to considering individual modules, it is also critical that the Department Module Review Forum undertakes a holistic analysis of the performance of all modules across the department. Any outliers should be identified, both in respect of poorer performance in comparison to other modules and those modules that are performing particularly well. The potential reasons for these differences should be discussed (for example, if a module has a very high pass mark in comparison to others, is the marking/moderation process sufficiently robust?), and actions identified to enhance the module or associated processes.</w:t>
      </w:r>
    </w:p>
    <w:p w14:paraId="162212E9" w14:textId="77777777" w:rsidR="004C71B2" w:rsidRPr="005E40E9" w:rsidRDefault="004C71B2" w:rsidP="004C71B2">
      <w:pPr>
        <w:spacing w:after="0" w:line="240" w:lineRule="auto"/>
        <w:rPr>
          <w:rFonts w:ascii="Arial" w:hAnsi="Arial" w:cs="Arial"/>
          <w:sz w:val="24"/>
          <w:szCs w:val="24"/>
        </w:rPr>
      </w:pPr>
    </w:p>
    <w:p w14:paraId="343C3934" w14:textId="3D169A01"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A dashboard is being developed which will support this holistic analysis and is available here: [</w:t>
      </w:r>
      <w:r w:rsidRPr="005E40E9">
        <w:rPr>
          <w:rFonts w:ascii="Arial" w:hAnsi="Arial" w:cs="Arial"/>
          <w:color w:val="C00000"/>
          <w:sz w:val="24"/>
          <w:szCs w:val="24"/>
        </w:rPr>
        <w:t xml:space="preserve">link </w:t>
      </w:r>
      <w:r w:rsidR="007B2214" w:rsidRPr="005E40E9">
        <w:rPr>
          <w:rFonts w:ascii="Arial" w:hAnsi="Arial" w:cs="Arial"/>
          <w:color w:val="C00000"/>
          <w:sz w:val="24"/>
          <w:szCs w:val="24"/>
        </w:rPr>
        <w:t>will be provided</w:t>
      </w:r>
      <w:r w:rsidRPr="005E40E9">
        <w:rPr>
          <w:rFonts w:ascii="Arial" w:hAnsi="Arial" w:cs="Arial"/>
          <w:color w:val="C00000"/>
          <w:sz w:val="24"/>
          <w:szCs w:val="24"/>
        </w:rPr>
        <w:t xml:space="preserve"> asap</w:t>
      </w:r>
      <w:r w:rsidRPr="005E40E9">
        <w:rPr>
          <w:rFonts w:ascii="Arial" w:hAnsi="Arial" w:cs="Arial"/>
          <w:sz w:val="24"/>
          <w:szCs w:val="24"/>
        </w:rPr>
        <w:t>]</w:t>
      </w:r>
    </w:p>
    <w:p w14:paraId="056B6173" w14:textId="77777777" w:rsidR="004C71B2" w:rsidRPr="005E40E9" w:rsidRDefault="004C71B2" w:rsidP="004C71B2">
      <w:pPr>
        <w:spacing w:after="0" w:line="240" w:lineRule="auto"/>
        <w:rPr>
          <w:rFonts w:ascii="Arial" w:hAnsi="Arial" w:cs="Arial"/>
          <w:sz w:val="24"/>
          <w:szCs w:val="24"/>
        </w:rPr>
      </w:pPr>
    </w:p>
    <w:p w14:paraId="03863F4A" w14:textId="77777777" w:rsidR="004C71B2" w:rsidRPr="005E40E9" w:rsidRDefault="004C71B2" w:rsidP="004C71B2">
      <w:pPr>
        <w:spacing w:after="0" w:line="240" w:lineRule="auto"/>
        <w:rPr>
          <w:rFonts w:ascii="Arial" w:hAnsi="Arial" w:cs="Arial"/>
          <w:sz w:val="24"/>
          <w:szCs w:val="24"/>
        </w:rPr>
      </w:pPr>
      <w:r w:rsidRPr="005E40E9">
        <w:rPr>
          <w:rFonts w:ascii="Arial" w:hAnsi="Arial" w:cs="Arial"/>
          <w:sz w:val="24"/>
          <w:szCs w:val="24"/>
        </w:rPr>
        <w:t>The discussion points and actions identified at the Department Module Review Forum should feed into Module Enhancement Plans (MEP), the School Education Committee, the Faculty Course Review Summit and Course Enhancement Plans (CEP).</w:t>
      </w:r>
    </w:p>
    <w:p w14:paraId="704D8213" w14:textId="77777777" w:rsidR="00136013" w:rsidRPr="005E40E9" w:rsidRDefault="00136013">
      <w:pPr>
        <w:rPr>
          <w:rFonts w:ascii="Arial" w:hAnsi="Arial" w:cs="Arial"/>
          <w:sz w:val="24"/>
          <w:szCs w:val="24"/>
        </w:rPr>
      </w:pPr>
    </w:p>
    <w:tbl>
      <w:tblPr>
        <w:tblW w:w="0" w:type="auto"/>
        <w:tblCellMar>
          <w:left w:w="0" w:type="dxa"/>
          <w:right w:w="0" w:type="dxa"/>
        </w:tblCellMar>
        <w:tblLook w:val="04A0" w:firstRow="1" w:lastRow="0" w:firstColumn="1" w:lastColumn="0" w:noHBand="0" w:noVBand="1"/>
      </w:tblPr>
      <w:tblGrid>
        <w:gridCol w:w="4503"/>
        <w:gridCol w:w="4503"/>
      </w:tblGrid>
      <w:tr w:rsidR="00A21A94" w:rsidRPr="005E40E9" w14:paraId="25BC5C2D" w14:textId="77777777" w:rsidTr="00F61D31">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D3D108" w14:textId="5F4D973D" w:rsidR="00A21A94" w:rsidRPr="005E40E9" w:rsidRDefault="00D823DC" w:rsidP="00F61D31">
            <w:pPr>
              <w:spacing w:after="0"/>
              <w:rPr>
                <w:rFonts w:ascii="Arial" w:hAnsi="Arial" w:cs="Arial"/>
                <w:color w:val="212121"/>
                <w:sz w:val="24"/>
                <w:szCs w:val="24"/>
                <w:lang w:eastAsia="en-GB"/>
              </w:rPr>
            </w:pPr>
            <w:r w:rsidRPr="005E40E9">
              <w:rPr>
                <w:rFonts w:ascii="Arial" w:hAnsi="Arial" w:cs="Arial"/>
                <w:b/>
                <w:bCs/>
                <w:color w:val="212121"/>
                <w:sz w:val="24"/>
                <w:szCs w:val="24"/>
                <w:lang w:eastAsia="en-GB"/>
              </w:rPr>
              <w:t>Guidance</w:t>
            </w:r>
            <w:r w:rsidR="00A21A94" w:rsidRPr="005E40E9">
              <w:rPr>
                <w:rFonts w:ascii="Arial" w:hAnsi="Arial" w:cs="Arial"/>
                <w:b/>
                <w:bCs/>
                <w:color w:val="212121"/>
                <w:sz w:val="24"/>
                <w:szCs w:val="24"/>
                <w:lang w:eastAsia="en-GB"/>
              </w:rPr>
              <w:t xml:space="preserve">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06ECEE" w14:textId="77777777" w:rsidR="00A21A94" w:rsidRPr="005E40E9" w:rsidRDefault="00A21A94" w:rsidP="00F61D31">
            <w:pPr>
              <w:spacing w:after="0"/>
              <w:rPr>
                <w:rFonts w:ascii="Arial" w:hAnsi="Arial" w:cs="Arial"/>
                <w:color w:val="212121"/>
                <w:sz w:val="24"/>
                <w:szCs w:val="24"/>
                <w:lang w:eastAsia="en-GB"/>
              </w:rPr>
            </w:pPr>
            <w:r w:rsidRPr="005E40E9">
              <w:rPr>
                <w:rFonts w:ascii="Arial" w:hAnsi="Arial" w:cs="Arial"/>
                <w:color w:val="212121"/>
                <w:sz w:val="24"/>
                <w:szCs w:val="24"/>
                <w:lang w:eastAsia="en-GB"/>
              </w:rPr>
              <w:t>Head of QAE</w:t>
            </w:r>
          </w:p>
        </w:tc>
      </w:tr>
      <w:tr w:rsidR="00A21A94" w:rsidRPr="005E40E9" w14:paraId="79B89A6C"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28EB9C" w14:textId="72DC902B" w:rsidR="00A21A94" w:rsidRPr="005E40E9" w:rsidRDefault="00D823DC" w:rsidP="00F61D31">
            <w:pPr>
              <w:spacing w:after="0"/>
              <w:rPr>
                <w:rFonts w:ascii="Arial" w:hAnsi="Arial" w:cs="Arial"/>
                <w:color w:val="212121"/>
                <w:sz w:val="24"/>
                <w:szCs w:val="24"/>
                <w:lang w:eastAsia="en-GB"/>
              </w:rPr>
            </w:pPr>
            <w:r w:rsidRPr="005E40E9">
              <w:rPr>
                <w:rFonts w:ascii="Arial" w:hAnsi="Arial" w:cs="Arial"/>
                <w:b/>
                <w:bCs/>
                <w:color w:val="212121"/>
                <w:sz w:val="24"/>
                <w:szCs w:val="24"/>
                <w:lang w:eastAsia="en-GB"/>
              </w:rPr>
              <w:t>Guidance</w:t>
            </w:r>
            <w:r w:rsidR="00A21A94" w:rsidRPr="005E40E9">
              <w:rPr>
                <w:rFonts w:ascii="Arial" w:hAnsi="Arial" w:cs="Arial"/>
                <w:b/>
                <w:bCs/>
                <w:color w:val="212121"/>
                <w:sz w:val="24"/>
                <w:szCs w:val="24"/>
                <w:lang w:eastAsia="en-GB"/>
              </w:rPr>
              <w:t xml:space="preserve">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AE3A188" w14:textId="77777777" w:rsidR="00A21A94" w:rsidRPr="005E40E9" w:rsidRDefault="00A21A94" w:rsidP="00F61D31">
            <w:pPr>
              <w:spacing w:after="0"/>
              <w:rPr>
                <w:rFonts w:ascii="Arial" w:hAnsi="Arial" w:cs="Arial"/>
                <w:color w:val="212121"/>
                <w:sz w:val="24"/>
                <w:szCs w:val="24"/>
                <w:lang w:eastAsia="en-GB"/>
              </w:rPr>
            </w:pPr>
            <w:r w:rsidRPr="005E40E9">
              <w:rPr>
                <w:rFonts w:ascii="Arial" w:hAnsi="Arial" w:cs="Arial"/>
                <w:color w:val="212121"/>
                <w:sz w:val="24"/>
                <w:szCs w:val="24"/>
                <w:lang w:eastAsia="en-GB"/>
              </w:rPr>
              <w:t>QAE</w:t>
            </w:r>
          </w:p>
        </w:tc>
      </w:tr>
      <w:tr w:rsidR="00A21A94" w:rsidRPr="005E40E9" w14:paraId="36025C21"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90E08" w14:textId="77777777" w:rsidR="00A21A94" w:rsidRPr="005E40E9" w:rsidRDefault="00A21A94" w:rsidP="00F61D31">
            <w:pPr>
              <w:spacing w:after="0"/>
              <w:rPr>
                <w:rFonts w:ascii="Arial" w:hAnsi="Arial" w:cs="Arial"/>
                <w:color w:val="212121"/>
                <w:sz w:val="24"/>
                <w:szCs w:val="24"/>
                <w:lang w:eastAsia="en-GB"/>
              </w:rPr>
            </w:pPr>
            <w:r w:rsidRPr="005E40E9">
              <w:rPr>
                <w:rFonts w:ascii="Arial" w:hAnsi="Arial" w:cs="Arial"/>
                <w:b/>
                <w:bCs/>
                <w:color w:val="212121"/>
                <w:sz w:val="24"/>
                <w:szCs w:val="24"/>
                <w:lang w:eastAsia="en-GB"/>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86C18DC" w14:textId="77777777" w:rsidR="00A21A94" w:rsidRPr="005E40E9" w:rsidRDefault="00A21A94" w:rsidP="00F61D31">
            <w:pPr>
              <w:spacing w:after="0"/>
              <w:rPr>
                <w:rFonts w:ascii="Arial" w:hAnsi="Arial" w:cs="Arial"/>
                <w:color w:val="212121"/>
                <w:sz w:val="24"/>
                <w:szCs w:val="24"/>
                <w:lang w:eastAsia="en-GB"/>
              </w:rPr>
            </w:pPr>
            <w:r w:rsidRPr="005E40E9">
              <w:rPr>
                <w:rFonts w:ascii="Arial" w:hAnsi="Arial" w:cs="Arial"/>
                <w:color w:val="212121"/>
                <w:sz w:val="24"/>
                <w:szCs w:val="24"/>
                <w:lang w:eastAsia="en-GB"/>
              </w:rPr>
              <w:t>Education Committee</w:t>
            </w:r>
          </w:p>
        </w:tc>
      </w:tr>
      <w:tr w:rsidR="00A21A94" w:rsidRPr="005E40E9" w14:paraId="370878ED"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953E46" w14:textId="77777777" w:rsidR="00A21A94" w:rsidRPr="005E40E9" w:rsidRDefault="00A21A94" w:rsidP="00F61D31">
            <w:pPr>
              <w:spacing w:after="0"/>
              <w:rPr>
                <w:rFonts w:ascii="Arial" w:hAnsi="Arial" w:cs="Arial"/>
                <w:color w:val="212121"/>
                <w:sz w:val="24"/>
                <w:szCs w:val="24"/>
                <w:lang w:eastAsia="en-GB"/>
              </w:rPr>
            </w:pPr>
            <w:r w:rsidRPr="005E40E9">
              <w:rPr>
                <w:rFonts w:ascii="Arial" w:hAnsi="Arial" w:cs="Arial"/>
                <w:b/>
                <w:bCs/>
                <w:color w:val="212121"/>
                <w:sz w:val="24"/>
                <w:szCs w:val="24"/>
                <w:lang w:eastAsia="en-GB"/>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F82C690" w14:textId="77777777" w:rsidR="00A21A94" w:rsidRPr="005E40E9" w:rsidRDefault="00A21A94" w:rsidP="00F61D31">
            <w:pPr>
              <w:spacing w:after="0"/>
              <w:rPr>
                <w:rFonts w:ascii="Arial" w:hAnsi="Arial" w:cs="Arial"/>
                <w:color w:val="212121"/>
                <w:sz w:val="24"/>
                <w:szCs w:val="24"/>
                <w:lang w:eastAsia="en-GB"/>
              </w:rPr>
            </w:pPr>
            <w:r w:rsidRPr="005E40E9">
              <w:rPr>
                <w:rFonts w:ascii="Arial" w:hAnsi="Arial" w:cs="Arial"/>
                <w:color w:val="212121"/>
                <w:sz w:val="24"/>
                <w:szCs w:val="24"/>
                <w:lang w:eastAsia="en-GB"/>
              </w:rPr>
              <w:t>1.0 - 2026-27 </w:t>
            </w:r>
          </w:p>
        </w:tc>
      </w:tr>
      <w:tr w:rsidR="00A21A94" w:rsidRPr="005E40E9" w14:paraId="2BF2CE3A"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13E42D" w14:textId="77777777" w:rsidR="00A21A94" w:rsidRPr="005E40E9" w:rsidRDefault="00A21A94" w:rsidP="00F61D31">
            <w:pPr>
              <w:spacing w:after="0"/>
              <w:rPr>
                <w:rFonts w:ascii="Arial" w:hAnsi="Arial" w:cs="Arial"/>
                <w:color w:val="212121"/>
                <w:sz w:val="24"/>
                <w:szCs w:val="24"/>
                <w:lang w:eastAsia="en-GB"/>
              </w:rPr>
            </w:pPr>
            <w:r w:rsidRPr="005E40E9">
              <w:rPr>
                <w:rFonts w:ascii="Arial" w:hAnsi="Arial" w:cs="Arial"/>
                <w:b/>
                <w:bCs/>
                <w:color w:val="212121"/>
                <w:sz w:val="24"/>
                <w:szCs w:val="24"/>
                <w:lang w:eastAsia="en-GB"/>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5258883" w14:textId="7D3ECB14" w:rsidR="00A21A94" w:rsidRPr="005E40E9" w:rsidRDefault="00172709" w:rsidP="00F61D31">
            <w:pPr>
              <w:spacing w:after="0"/>
              <w:rPr>
                <w:rFonts w:ascii="Arial" w:hAnsi="Arial" w:cs="Arial"/>
                <w:color w:val="212121"/>
                <w:sz w:val="24"/>
                <w:szCs w:val="24"/>
                <w:lang w:eastAsia="en-GB"/>
              </w:rPr>
            </w:pPr>
            <w:r w:rsidRPr="005E40E9">
              <w:rPr>
                <w:rFonts w:ascii="Arial" w:hAnsi="Arial" w:cs="Arial"/>
                <w:color w:val="212121"/>
                <w:sz w:val="24"/>
                <w:szCs w:val="24"/>
                <w:lang w:eastAsia="en-GB"/>
              </w:rPr>
              <w:t>June 2026</w:t>
            </w:r>
          </w:p>
        </w:tc>
      </w:tr>
    </w:tbl>
    <w:p w14:paraId="07B88505" w14:textId="77777777" w:rsidR="00A21A94" w:rsidRPr="005E40E9" w:rsidRDefault="00A21A94">
      <w:pPr>
        <w:rPr>
          <w:rFonts w:ascii="Arial" w:hAnsi="Arial" w:cs="Arial"/>
          <w:sz w:val="24"/>
          <w:szCs w:val="24"/>
        </w:rPr>
      </w:pPr>
    </w:p>
    <w:sectPr w:rsidR="00A21A94" w:rsidRPr="005E40E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A7587" w14:textId="77777777" w:rsidR="001931EB" w:rsidRDefault="001931EB" w:rsidP="00223D54">
      <w:pPr>
        <w:spacing w:after="0" w:line="240" w:lineRule="auto"/>
      </w:pPr>
      <w:r>
        <w:separator/>
      </w:r>
    </w:p>
  </w:endnote>
  <w:endnote w:type="continuationSeparator" w:id="0">
    <w:p w14:paraId="3D6B9F0E" w14:textId="77777777" w:rsidR="001931EB" w:rsidRDefault="001931EB" w:rsidP="00223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16A2" w14:textId="43BF5E7E" w:rsidR="00223D54" w:rsidRPr="008A732B" w:rsidRDefault="00223D54">
    <w:pPr>
      <w:pStyle w:val="Footer"/>
      <w:rPr>
        <w:rFonts w:ascii="Arial" w:hAnsi="Arial" w:cs="Arial"/>
        <w:sz w:val="16"/>
        <w:szCs w:val="16"/>
      </w:rPr>
    </w:pPr>
    <w:r w:rsidRPr="008A732B">
      <w:rPr>
        <w:rFonts w:ascii="Arial" w:hAnsi="Arial" w:cs="Arial"/>
        <w:sz w:val="16"/>
        <w:szCs w:val="16"/>
      </w:rPr>
      <w:t xml:space="preserve">AQSH: Guidance </w:t>
    </w:r>
    <w:proofErr w:type="gramStart"/>
    <w:r w:rsidRPr="008A732B">
      <w:rPr>
        <w:rFonts w:ascii="Arial" w:hAnsi="Arial" w:cs="Arial"/>
        <w:sz w:val="16"/>
        <w:szCs w:val="16"/>
      </w:rPr>
      <w:t>DG(</w:t>
    </w:r>
    <w:proofErr w:type="gramEnd"/>
    <w:r w:rsidRPr="008A732B">
      <w:rPr>
        <w:rFonts w:ascii="Arial" w:hAnsi="Arial" w:cs="Arial"/>
        <w:sz w:val="16"/>
        <w:szCs w:val="16"/>
      </w:rPr>
      <w:t>ii)</w:t>
    </w:r>
    <w:r w:rsidRPr="008A732B">
      <w:rPr>
        <w:rFonts w:ascii="Arial" w:hAnsi="Arial" w:cs="Arial"/>
        <w:sz w:val="16"/>
        <w:szCs w:val="16"/>
      </w:rPr>
      <w:tab/>
      <w:t>2026-27</w:t>
    </w:r>
    <w:r w:rsidR="00A9303F" w:rsidRPr="008A732B">
      <w:rPr>
        <w:rFonts w:ascii="Arial" w:hAnsi="Arial" w:cs="Arial"/>
        <w:sz w:val="16"/>
        <w:szCs w:val="16"/>
      </w:rPr>
      <w:tab/>
      <w:t xml:space="preserve">Page </w:t>
    </w:r>
    <w:r w:rsidR="00A9303F" w:rsidRPr="008A732B">
      <w:rPr>
        <w:rFonts w:ascii="Arial" w:hAnsi="Arial" w:cs="Arial"/>
        <w:b/>
        <w:bCs/>
        <w:sz w:val="16"/>
        <w:szCs w:val="16"/>
      </w:rPr>
      <w:fldChar w:fldCharType="begin"/>
    </w:r>
    <w:r w:rsidR="00A9303F" w:rsidRPr="008A732B">
      <w:rPr>
        <w:rFonts w:ascii="Arial" w:hAnsi="Arial" w:cs="Arial"/>
        <w:b/>
        <w:bCs/>
        <w:sz w:val="16"/>
        <w:szCs w:val="16"/>
      </w:rPr>
      <w:instrText xml:space="preserve"> PAGE  \* Arabic  \* MERGEFORMAT </w:instrText>
    </w:r>
    <w:r w:rsidR="00A9303F" w:rsidRPr="008A732B">
      <w:rPr>
        <w:rFonts w:ascii="Arial" w:hAnsi="Arial" w:cs="Arial"/>
        <w:b/>
        <w:bCs/>
        <w:sz w:val="16"/>
        <w:szCs w:val="16"/>
      </w:rPr>
      <w:fldChar w:fldCharType="separate"/>
    </w:r>
    <w:r w:rsidR="00A9303F" w:rsidRPr="008A732B">
      <w:rPr>
        <w:rFonts w:ascii="Arial" w:hAnsi="Arial" w:cs="Arial"/>
        <w:b/>
        <w:bCs/>
        <w:noProof/>
        <w:sz w:val="16"/>
        <w:szCs w:val="16"/>
      </w:rPr>
      <w:t>1</w:t>
    </w:r>
    <w:r w:rsidR="00A9303F" w:rsidRPr="008A732B">
      <w:rPr>
        <w:rFonts w:ascii="Arial" w:hAnsi="Arial" w:cs="Arial"/>
        <w:b/>
        <w:bCs/>
        <w:sz w:val="16"/>
        <w:szCs w:val="16"/>
      </w:rPr>
      <w:fldChar w:fldCharType="end"/>
    </w:r>
    <w:r w:rsidR="00A9303F" w:rsidRPr="008A732B">
      <w:rPr>
        <w:rFonts w:ascii="Arial" w:hAnsi="Arial" w:cs="Arial"/>
        <w:sz w:val="16"/>
        <w:szCs w:val="16"/>
      </w:rPr>
      <w:t xml:space="preserve"> of </w:t>
    </w:r>
    <w:r w:rsidR="00A9303F" w:rsidRPr="008A732B">
      <w:rPr>
        <w:rFonts w:ascii="Arial" w:hAnsi="Arial" w:cs="Arial"/>
        <w:b/>
        <w:bCs/>
        <w:sz w:val="16"/>
        <w:szCs w:val="16"/>
      </w:rPr>
      <w:fldChar w:fldCharType="begin"/>
    </w:r>
    <w:r w:rsidR="00A9303F" w:rsidRPr="008A732B">
      <w:rPr>
        <w:rFonts w:ascii="Arial" w:hAnsi="Arial" w:cs="Arial"/>
        <w:b/>
        <w:bCs/>
        <w:sz w:val="16"/>
        <w:szCs w:val="16"/>
      </w:rPr>
      <w:instrText xml:space="preserve"> NUMPAGES  \* Arabic  \* MERGEFORMAT </w:instrText>
    </w:r>
    <w:r w:rsidR="00A9303F" w:rsidRPr="008A732B">
      <w:rPr>
        <w:rFonts w:ascii="Arial" w:hAnsi="Arial" w:cs="Arial"/>
        <w:b/>
        <w:bCs/>
        <w:sz w:val="16"/>
        <w:szCs w:val="16"/>
      </w:rPr>
      <w:fldChar w:fldCharType="separate"/>
    </w:r>
    <w:r w:rsidR="00A9303F" w:rsidRPr="008A732B">
      <w:rPr>
        <w:rFonts w:ascii="Arial" w:hAnsi="Arial" w:cs="Arial"/>
        <w:b/>
        <w:bCs/>
        <w:noProof/>
        <w:sz w:val="16"/>
        <w:szCs w:val="16"/>
      </w:rPr>
      <w:t>2</w:t>
    </w:r>
    <w:r w:rsidR="00A9303F" w:rsidRPr="008A732B">
      <w:rPr>
        <w:rFonts w:ascii="Arial" w:hAnsi="Arial" w:cs="Arial"/>
        <w:b/>
        <w:bCs/>
        <w:sz w:val="16"/>
        <w:szCs w:val="16"/>
      </w:rPr>
      <w:fldChar w:fldCharType="end"/>
    </w:r>
  </w:p>
  <w:p w14:paraId="167FA572" w14:textId="77777777" w:rsidR="00223D54" w:rsidRPr="008A732B" w:rsidRDefault="00223D54">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777C1" w14:textId="77777777" w:rsidR="001931EB" w:rsidRDefault="001931EB" w:rsidP="00223D54">
      <w:pPr>
        <w:spacing w:after="0" w:line="240" w:lineRule="auto"/>
      </w:pPr>
      <w:r>
        <w:separator/>
      </w:r>
    </w:p>
  </w:footnote>
  <w:footnote w:type="continuationSeparator" w:id="0">
    <w:p w14:paraId="6D6E54DC" w14:textId="77777777" w:rsidR="001931EB" w:rsidRDefault="001931EB" w:rsidP="00223D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01594"/>
    <w:multiLevelType w:val="hybridMultilevel"/>
    <w:tmpl w:val="E2A80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562E1C"/>
    <w:multiLevelType w:val="hybridMultilevel"/>
    <w:tmpl w:val="391433C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2703604">
    <w:abstractNumId w:val="0"/>
  </w:num>
  <w:num w:numId="2" w16cid:durableId="1068770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1B2"/>
    <w:rsid w:val="000A23DF"/>
    <w:rsid w:val="00133933"/>
    <w:rsid w:val="00136013"/>
    <w:rsid w:val="00172709"/>
    <w:rsid w:val="001931EB"/>
    <w:rsid w:val="001E0E5B"/>
    <w:rsid w:val="00223D54"/>
    <w:rsid w:val="002C63B8"/>
    <w:rsid w:val="004B0CDF"/>
    <w:rsid w:val="004C71B2"/>
    <w:rsid w:val="00517ADD"/>
    <w:rsid w:val="005E40E9"/>
    <w:rsid w:val="007B2214"/>
    <w:rsid w:val="00811810"/>
    <w:rsid w:val="0086777F"/>
    <w:rsid w:val="008A732B"/>
    <w:rsid w:val="00A070CB"/>
    <w:rsid w:val="00A21A94"/>
    <w:rsid w:val="00A9303F"/>
    <w:rsid w:val="00BE176F"/>
    <w:rsid w:val="00BF5787"/>
    <w:rsid w:val="00CA6F8E"/>
    <w:rsid w:val="00CB3A1B"/>
    <w:rsid w:val="00D823DC"/>
    <w:rsid w:val="00E05B13"/>
    <w:rsid w:val="00FC4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E9827"/>
  <w15:chartTrackingRefBased/>
  <w15:docId w15:val="{F3161D63-9D01-47A3-AA1B-2C2925D8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1B2"/>
    <w:pPr>
      <w:spacing w:line="259" w:lineRule="auto"/>
    </w:pPr>
    <w:rPr>
      <w:sz w:val="22"/>
      <w:szCs w:val="22"/>
    </w:rPr>
  </w:style>
  <w:style w:type="paragraph" w:styleId="Heading1">
    <w:name w:val="heading 1"/>
    <w:basedOn w:val="Normal"/>
    <w:next w:val="Normal"/>
    <w:link w:val="Heading1Char"/>
    <w:uiPriority w:val="9"/>
    <w:qFormat/>
    <w:rsid w:val="004C71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71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71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71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71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71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1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1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1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1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71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71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71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71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71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1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71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1B2"/>
    <w:rPr>
      <w:rFonts w:eastAsiaTheme="majorEastAsia" w:cstheme="majorBidi"/>
      <w:color w:val="272727" w:themeColor="text1" w:themeTint="D8"/>
    </w:rPr>
  </w:style>
  <w:style w:type="paragraph" w:styleId="Title">
    <w:name w:val="Title"/>
    <w:basedOn w:val="Normal"/>
    <w:next w:val="Normal"/>
    <w:link w:val="TitleChar"/>
    <w:uiPriority w:val="10"/>
    <w:qFormat/>
    <w:rsid w:val="004C7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1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1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1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1B2"/>
    <w:pPr>
      <w:spacing w:before="160"/>
      <w:jc w:val="center"/>
    </w:pPr>
    <w:rPr>
      <w:i/>
      <w:iCs/>
      <w:color w:val="404040" w:themeColor="text1" w:themeTint="BF"/>
    </w:rPr>
  </w:style>
  <w:style w:type="character" w:customStyle="1" w:styleId="QuoteChar">
    <w:name w:val="Quote Char"/>
    <w:basedOn w:val="DefaultParagraphFont"/>
    <w:link w:val="Quote"/>
    <w:uiPriority w:val="29"/>
    <w:rsid w:val="004C71B2"/>
    <w:rPr>
      <w:i/>
      <w:iCs/>
      <w:color w:val="404040" w:themeColor="text1" w:themeTint="BF"/>
    </w:rPr>
  </w:style>
  <w:style w:type="paragraph" w:styleId="ListParagraph">
    <w:name w:val="List Paragraph"/>
    <w:basedOn w:val="Normal"/>
    <w:uiPriority w:val="34"/>
    <w:qFormat/>
    <w:rsid w:val="004C71B2"/>
    <w:pPr>
      <w:ind w:left="720"/>
      <w:contextualSpacing/>
    </w:pPr>
  </w:style>
  <w:style w:type="character" w:styleId="IntenseEmphasis">
    <w:name w:val="Intense Emphasis"/>
    <w:basedOn w:val="DefaultParagraphFont"/>
    <w:uiPriority w:val="21"/>
    <w:qFormat/>
    <w:rsid w:val="004C71B2"/>
    <w:rPr>
      <w:i/>
      <w:iCs/>
      <w:color w:val="0F4761" w:themeColor="accent1" w:themeShade="BF"/>
    </w:rPr>
  </w:style>
  <w:style w:type="paragraph" w:styleId="IntenseQuote">
    <w:name w:val="Intense Quote"/>
    <w:basedOn w:val="Normal"/>
    <w:next w:val="Normal"/>
    <w:link w:val="IntenseQuoteChar"/>
    <w:uiPriority w:val="30"/>
    <w:qFormat/>
    <w:rsid w:val="004C7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71B2"/>
    <w:rPr>
      <w:i/>
      <w:iCs/>
      <w:color w:val="0F4761" w:themeColor="accent1" w:themeShade="BF"/>
    </w:rPr>
  </w:style>
  <w:style w:type="character" w:styleId="IntenseReference">
    <w:name w:val="Intense Reference"/>
    <w:basedOn w:val="DefaultParagraphFont"/>
    <w:uiPriority w:val="32"/>
    <w:qFormat/>
    <w:rsid w:val="004C71B2"/>
    <w:rPr>
      <w:b/>
      <w:bCs/>
      <w:smallCaps/>
      <w:color w:val="0F4761" w:themeColor="accent1" w:themeShade="BF"/>
      <w:spacing w:val="5"/>
    </w:rPr>
  </w:style>
  <w:style w:type="character" w:styleId="Hyperlink">
    <w:name w:val="Hyperlink"/>
    <w:basedOn w:val="DefaultParagraphFont"/>
    <w:uiPriority w:val="99"/>
    <w:unhideWhenUsed/>
    <w:rsid w:val="00E05B13"/>
    <w:rPr>
      <w:color w:val="467886" w:themeColor="hyperlink"/>
      <w:u w:val="single"/>
    </w:rPr>
  </w:style>
  <w:style w:type="character" w:styleId="UnresolvedMention">
    <w:name w:val="Unresolved Mention"/>
    <w:basedOn w:val="DefaultParagraphFont"/>
    <w:uiPriority w:val="99"/>
    <w:semiHidden/>
    <w:unhideWhenUsed/>
    <w:rsid w:val="00E05B13"/>
    <w:rPr>
      <w:color w:val="605E5C"/>
      <w:shd w:val="clear" w:color="auto" w:fill="E1DFDD"/>
    </w:rPr>
  </w:style>
  <w:style w:type="paragraph" w:styleId="Header">
    <w:name w:val="header"/>
    <w:basedOn w:val="Normal"/>
    <w:link w:val="HeaderChar"/>
    <w:uiPriority w:val="99"/>
    <w:unhideWhenUsed/>
    <w:rsid w:val="00223D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D54"/>
    <w:rPr>
      <w:sz w:val="22"/>
      <w:szCs w:val="22"/>
    </w:rPr>
  </w:style>
  <w:style w:type="paragraph" w:styleId="Footer">
    <w:name w:val="footer"/>
    <w:basedOn w:val="Normal"/>
    <w:link w:val="FooterChar"/>
    <w:uiPriority w:val="99"/>
    <w:unhideWhenUsed/>
    <w:rsid w:val="00223D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D5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datainsight.kingston.ac.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3F7DF-1DFF-447C-B89C-791A1962AF2E}">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1DFAB702-9B43-4820-B964-D2969E655CC9}">
  <ds:schemaRefs>
    <ds:schemaRef ds:uri="http://schemas.microsoft.com/sharepoint/v3/contenttype/forms"/>
  </ds:schemaRefs>
</ds:datastoreItem>
</file>

<file path=customXml/itemProps3.xml><?xml version="1.0" encoding="utf-8"?>
<ds:datastoreItem xmlns:ds="http://schemas.openxmlformats.org/officeDocument/2006/customXml" ds:itemID="{CC3ACB93-CBDA-4D46-9BEB-C868ADEED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3824</Characters>
  <Application>Microsoft Office Word</Application>
  <DocSecurity>0</DocSecurity>
  <Lines>31</Lines>
  <Paragraphs>8</Paragraphs>
  <ScaleCrop>false</ScaleCrop>
  <Company>Kingston University</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2026-10-07T10:53:00Z</dcterms:created>
  <dcterms:modified xsi:type="dcterms:W3CDTF">2026-10-07T10:53:00Z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2026-06-04T09:01:56Z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0dd03d23-b7a3-412d-8851-525f5b3a7f59</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y fmtid="{D5CDD505-2E9C-101B-9397-08002B2CF9AE}" pid="10" name="ContentTypeId">
    <vt:lpwstr>0x010100AF47C6D639642C4882A310EAFDB93A7F</vt:lpwstr>
  </property>
  <property fmtid="{D5CDD505-2E9C-101B-9397-08002B2CF9AE}" pid="11" name="TaxKeyword">
    <vt:lpwstr/>
  </property>
</Properties>
</file>