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A2A9E" w14:textId="7FEF1EAD" w:rsidR="00E85B8C" w:rsidRDefault="0037317C" w:rsidP="00A6294D">
      <w:pPr>
        <w:pStyle w:val="Heading1"/>
      </w:pPr>
      <w:r>
        <w:t>Kingston University</w:t>
      </w:r>
    </w:p>
    <w:p w14:paraId="6EE1B05C" w14:textId="1CC6F12A" w:rsidR="00E85B8C" w:rsidRDefault="00E85B8C" w:rsidP="00E85B8C">
      <w:pPr>
        <w:pStyle w:val="Heading3"/>
      </w:pPr>
      <w:r>
        <w:t xml:space="preserve">Summary of 2024-25 to 2027-28 access and participation plan  </w:t>
      </w:r>
    </w:p>
    <w:p w14:paraId="6337A5C4" w14:textId="77777777" w:rsidR="00E85B8C" w:rsidRDefault="00E85B8C" w:rsidP="266661F1">
      <w:pPr>
        <w:pStyle w:val="Heading4"/>
        <w:rPr>
          <w:b/>
          <w:bCs/>
        </w:rPr>
      </w:pPr>
      <w:r w:rsidRPr="266661F1">
        <w:rPr>
          <w:b/>
          <w:bCs/>
        </w:rPr>
        <w:t xml:space="preserve">What is an access and participation plan? </w:t>
      </w:r>
    </w:p>
    <w:p w14:paraId="58228E37" w14:textId="445ABB20" w:rsidR="00E85B8C" w:rsidRDefault="00C61750" w:rsidP="002D3E8C">
      <w:r>
        <w:t>An access and participation</w:t>
      </w:r>
      <w:r w:rsidR="1DFD58D4">
        <w:t xml:space="preserve"> plan</w:t>
      </w:r>
      <w:r>
        <w:t xml:space="preserve"> sets out </w:t>
      </w:r>
      <w:r w:rsidR="11349396">
        <w:t xml:space="preserve">actions </w:t>
      </w:r>
      <w:r>
        <w:t xml:space="preserve">that will be meaningful and effective in promoting equality of opportunity for underrepresented groups, as determined by the Office for Students. You can see the full access and participation plan for </w:t>
      </w:r>
      <w:r w:rsidR="29A6694C">
        <w:t>Kingston University</w:t>
      </w:r>
      <w:r>
        <w:t xml:space="preserve"> </w:t>
      </w:r>
      <w:hyperlink r:id="rId11">
        <w:r w:rsidR="47F57895" w:rsidRPr="2A0AEA36">
          <w:rPr>
            <w:rStyle w:val="Hyperlink"/>
          </w:rPr>
          <w:t>here</w:t>
        </w:r>
      </w:hyperlink>
      <w:r>
        <w:t xml:space="preserve">. </w:t>
      </w:r>
    </w:p>
    <w:p w14:paraId="40B6A9C6" w14:textId="77777777" w:rsidR="00E85B8C" w:rsidRDefault="00E85B8C" w:rsidP="266661F1">
      <w:pPr>
        <w:pStyle w:val="Heading4"/>
        <w:rPr>
          <w:b/>
          <w:bCs/>
        </w:rPr>
      </w:pPr>
      <w:r w:rsidRPr="602E5A1D">
        <w:rPr>
          <w:b/>
          <w:bCs/>
        </w:rPr>
        <w:t xml:space="preserve">Key points </w:t>
      </w:r>
    </w:p>
    <w:p w14:paraId="59AB6A79" w14:textId="20588924" w:rsidR="00F66962" w:rsidRDefault="3C6CC747" w:rsidP="002358C3">
      <w:r>
        <w:t xml:space="preserve">Kingston University has </w:t>
      </w:r>
      <w:r w:rsidR="16FA7085">
        <w:t xml:space="preserve">long standing commitment to </w:t>
      </w:r>
      <w:r w:rsidR="74C8C285">
        <w:t xml:space="preserve">facilitate </w:t>
      </w:r>
      <w:r w:rsidR="16FA7085">
        <w:t xml:space="preserve">access to university </w:t>
      </w:r>
      <w:r>
        <w:t xml:space="preserve">for everyone with the potential to </w:t>
      </w:r>
      <w:r w:rsidR="00E215F4">
        <w:t>succeed</w:t>
      </w:r>
      <w:r w:rsidR="00E97D82">
        <w:t>,</w:t>
      </w:r>
      <w:r w:rsidR="522067CB">
        <w:t xml:space="preserve"> and </w:t>
      </w:r>
      <w:r w:rsidR="002D341E">
        <w:t xml:space="preserve">to </w:t>
      </w:r>
      <w:r w:rsidR="522067CB">
        <w:t xml:space="preserve">support them to </w:t>
      </w:r>
      <w:r w:rsidR="00E215F4">
        <w:t>do so</w:t>
      </w:r>
      <w:r>
        <w:t>. We view the diversity of our student body as one of our greatest strengths.</w:t>
      </w:r>
    </w:p>
    <w:p w14:paraId="0793802F" w14:textId="180A825A" w:rsidR="00F66962" w:rsidRDefault="21D749FB" w:rsidP="002358C3">
      <w:r>
        <w:t>Our</w:t>
      </w:r>
      <w:r w:rsidR="000D7041">
        <w:t xml:space="preserve"> community </w:t>
      </w:r>
      <w:r w:rsidR="7B361FC0">
        <w:t xml:space="preserve">is made up of </w:t>
      </w:r>
      <w:r w:rsidR="00E30820">
        <w:t xml:space="preserve">over </w:t>
      </w:r>
      <w:r w:rsidR="000D7041">
        <w:t>12,</w:t>
      </w:r>
      <w:r w:rsidR="00E30820">
        <w:t>000</w:t>
      </w:r>
      <w:r w:rsidR="000D7041">
        <w:t xml:space="preserve"> undergraduate, and</w:t>
      </w:r>
      <w:r w:rsidR="00E30820">
        <w:t xml:space="preserve"> over</w:t>
      </w:r>
      <w:r w:rsidR="000D7041">
        <w:t xml:space="preserve"> 2,</w:t>
      </w:r>
      <w:r w:rsidR="00E30820">
        <w:t>500</w:t>
      </w:r>
      <w:r w:rsidR="000D7041">
        <w:t xml:space="preserve"> postgraduate UK domiciled students </w:t>
      </w:r>
      <w:r w:rsidR="31297F02">
        <w:t>(</w:t>
      </w:r>
      <w:r w:rsidR="000D7041">
        <w:t xml:space="preserve">as </w:t>
      </w:r>
      <w:r w:rsidR="5CB8A4E5">
        <w:t>of</w:t>
      </w:r>
      <w:r w:rsidR="000D7041">
        <w:t xml:space="preserve"> 20 June 2023</w:t>
      </w:r>
      <w:r w:rsidR="537278A7">
        <w:t>)</w:t>
      </w:r>
      <w:r w:rsidR="00F66962">
        <w:t>.</w:t>
      </w:r>
      <w:r w:rsidR="742B34CB">
        <w:t xml:space="preserve"> </w:t>
      </w:r>
      <w:r w:rsidR="716D747F">
        <w:t xml:space="preserve">Most </w:t>
      </w:r>
      <w:r w:rsidR="00F51577">
        <w:t>of our undergraduate students study full-time (87%) on first degree courses (83%)</w:t>
      </w:r>
      <w:r w:rsidR="00B7122B">
        <w:t>.</w:t>
      </w:r>
      <w:r w:rsidR="00E97938">
        <w:t xml:space="preserve"> </w:t>
      </w:r>
      <w:r w:rsidR="002726BE">
        <w:t>We have a growing apprenticeship provision</w:t>
      </w:r>
      <w:r w:rsidR="008F2171">
        <w:t xml:space="preserve"> (currently 3% of our undergraduate population)</w:t>
      </w:r>
      <w:r w:rsidR="002726BE">
        <w:t xml:space="preserve">, alongside </w:t>
      </w:r>
      <w:r w:rsidR="008F2171">
        <w:t>our foundation year and foundation degree programmes (</w:t>
      </w:r>
      <w:r w:rsidR="00E97938">
        <w:t>7% and 5% respectively).</w:t>
      </w:r>
      <w:r w:rsidR="0031312C">
        <w:t xml:space="preserve"> </w:t>
      </w:r>
    </w:p>
    <w:p w14:paraId="03E7F43C" w14:textId="53F1CC51" w:rsidR="002726BE" w:rsidRDefault="4DF83A75" w:rsidP="002358C3">
      <w:r>
        <w:t xml:space="preserve">In 2021/22, </w:t>
      </w:r>
      <w:r w:rsidR="300A35D7">
        <w:t xml:space="preserve">61% of our undergraduate </w:t>
      </w:r>
      <w:r w:rsidR="5C4E4A50">
        <w:t xml:space="preserve">entrants </w:t>
      </w:r>
      <w:r w:rsidR="300A35D7">
        <w:t xml:space="preserve">were </w:t>
      </w:r>
      <w:r w:rsidR="39DF7F65">
        <w:t xml:space="preserve">from </w:t>
      </w:r>
      <w:r w:rsidR="002D341E">
        <w:t>one of our</w:t>
      </w:r>
      <w:r w:rsidR="39DF7F65">
        <w:t xml:space="preserve"> access and participation target group</w:t>
      </w:r>
      <w:r w:rsidR="002D341E">
        <w:t>s</w:t>
      </w:r>
      <w:r w:rsidR="39DF7F65">
        <w:t xml:space="preserve"> (</w:t>
      </w:r>
      <w:r w:rsidR="0ED0AFC0">
        <w:t xml:space="preserve">i.e., of </w:t>
      </w:r>
      <w:r w:rsidR="300A35D7">
        <w:t xml:space="preserve">Black or Asian ethnicity, previously eligible for free school meals, </w:t>
      </w:r>
      <w:r w:rsidR="1868211C">
        <w:t>or students nationally least likely to continue in their studies – ABCS Q1</w:t>
      </w:r>
      <w:r w:rsidR="00795F0E">
        <w:rPr>
          <w:rStyle w:val="FootnoteReference"/>
        </w:rPr>
        <w:footnoteReference w:id="2"/>
      </w:r>
      <w:r w:rsidR="0D5A1D2E">
        <w:t>)</w:t>
      </w:r>
      <w:r w:rsidR="1868211C">
        <w:t>.</w:t>
      </w:r>
    </w:p>
    <w:p w14:paraId="53596C84" w14:textId="2D85D0F8" w:rsidR="00C201FE" w:rsidRDefault="038CFD3A" w:rsidP="16F94C30">
      <w:r>
        <w:t xml:space="preserve">Kingston University’s mission is “to enhance students’ life chances.” </w:t>
      </w:r>
      <w:r w:rsidR="38C54A51">
        <w:t>Our Town House strategy</w:t>
      </w:r>
      <w:r w:rsidR="003D568D">
        <w:t xml:space="preserve"> was</w:t>
      </w:r>
      <w:r w:rsidR="21265F53">
        <w:t xml:space="preserve"> launched in 2022</w:t>
      </w:r>
      <w:r w:rsidR="000A7BAF">
        <w:t xml:space="preserve"> and builds on our history and identity</w:t>
      </w:r>
      <w:r w:rsidR="4A73A775">
        <w:t xml:space="preserve">. At its </w:t>
      </w:r>
      <w:r w:rsidR="1E701A34">
        <w:t xml:space="preserve">heart </w:t>
      </w:r>
      <w:r w:rsidR="4A73A775">
        <w:t xml:space="preserve">is Future Skills, a new model of </w:t>
      </w:r>
      <w:r w:rsidR="000D31A5">
        <w:t>e</w:t>
      </w:r>
      <w:r w:rsidR="4A73A775">
        <w:t xml:space="preserve">ducation that will </w:t>
      </w:r>
      <w:r w:rsidR="003D568D">
        <w:t>give</w:t>
      </w:r>
      <w:r w:rsidR="4A73A775">
        <w:t xml:space="preserve"> students</w:t>
      </w:r>
      <w:r w:rsidR="510B3984">
        <w:t xml:space="preserve"> </w:t>
      </w:r>
      <w:r w:rsidR="4A73A775">
        <w:t xml:space="preserve">the skills </w:t>
      </w:r>
      <w:r w:rsidR="2062BABF">
        <w:t xml:space="preserve">to </w:t>
      </w:r>
      <w:r w:rsidR="216431C2">
        <w:t xml:space="preserve">become </w:t>
      </w:r>
      <w:r w:rsidR="5856A5A2">
        <w:t>sought after</w:t>
      </w:r>
      <w:r w:rsidR="216431C2">
        <w:t xml:space="preserve"> graduates</w:t>
      </w:r>
      <w:r w:rsidR="35C8C483">
        <w:t xml:space="preserve">. </w:t>
      </w:r>
      <w:r w:rsidR="72D872F8">
        <w:t xml:space="preserve">Future Skills </w:t>
      </w:r>
      <w:r w:rsidR="35C8C483">
        <w:t>is being delivered</w:t>
      </w:r>
      <w:r w:rsidR="2062BABF">
        <w:t xml:space="preserve"> </w:t>
      </w:r>
      <w:r w:rsidR="00487771">
        <w:t>in</w:t>
      </w:r>
      <w:r w:rsidR="2062BABF">
        <w:t xml:space="preserve"> every course</w:t>
      </w:r>
      <w:r w:rsidR="1B27844A">
        <w:t>, so</w:t>
      </w:r>
      <w:r w:rsidR="5ABFFA4A">
        <w:t xml:space="preserve"> students from all backgrounds </w:t>
      </w:r>
      <w:r w:rsidR="645F2629">
        <w:t xml:space="preserve">can </w:t>
      </w:r>
      <w:r w:rsidR="5ABFFA4A">
        <w:t>benefit</w:t>
      </w:r>
      <w:r w:rsidR="5C220499">
        <w:t>.</w:t>
      </w:r>
      <w:r w:rsidR="4E24083C">
        <w:t xml:space="preserve"> </w:t>
      </w:r>
    </w:p>
    <w:p w14:paraId="3A9BE9F2" w14:textId="00B01695" w:rsidR="00E85B8C" w:rsidRDefault="570467ED" w:rsidP="2A0AEA36">
      <w:r>
        <w:t xml:space="preserve">Our </w:t>
      </w:r>
      <w:r w:rsidR="0295DDC4">
        <w:t xml:space="preserve">strategy </w:t>
      </w:r>
      <w:r>
        <w:t>is underpinned by our values of ambition, enterprise, inclusivity and innovation.</w:t>
      </w:r>
      <w:r w:rsidR="1E6AF8FA">
        <w:t xml:space="preserve"> </w:t>
      </w:r>
      <w:r w:rsidR="1E6AF8FA" w:rsidRPr="2A0AEA36">
        <w:t>In the 2023 Teaching Excellence Framework Kingston University was rated Gold Overall, with Gold ratings for Student Experience and Student Outcomes.</w:t>
      </w:r>
    </w:p>
    <w:p w14:paraId="0214A2A3" w14:textId="7288F2B0" w:rsidR="00B6A45B" w:rsidRDefault="25F0DA24" w:rsidP="16F94C30">
      <w:r>
        <w:t xml:space="preserve">We recognise there </w:t>
      </w:r>
      <w:r w:rsidR="00B6A45B">
        <w:t xml:space="preserve">are gaps in </w:t>
      </w:r>
      <w:r w:rsidR="2565F4D5">
        <w:t xml:space="preserve">access, </w:t>
      </w:r>
      <w:r w:rsidR="00B6A45B">
        <w:t xml:space="preserve">degree awards and graduate employment between different groups of students across higher education and at our university. We are working hard to address these </w:t>
      </w:r>
      <w:r w:rsidR="1EADFC25">
        <w:t xml:space="preserve">disparities and ensure equitable outcomes for </w:t>
      </w:r>
      <w:r w:rsidR="00183392">
        <w:t xml:space="preserve">all </w:t>
      </w:r>
      <w:r w:rsidR="1EADFC25">
        <w:t>our students.</w:t>
      </w:r>
    </w:p>
    <w:p w14:paraId="3B87C5C1" w14:textId="100BA55F" w:rsidR="00E85B8C" w:rsidRDefault="00E85B8C" w:rsidP="266661F1">
      <w:pPr>
        <w:pStyle w:val="Heading4"/>
        <w:rPr>
          <w:b/>
          <w:bCs/>
        </w:rPr>
      </w:pPr>
      <w:r w:rsidRPr="266661F1">
        <w:rPr>
          <w:b/>
          <w:bCs/>
        </w:rPr>
        <w:t xml:space="preserve">Fees we charge </w:t>
      </w:r>
    </w:p>
    <w:p w14:paraId="62BA4737" w14:textId="20830A39" w:rsidR="00E85B8C" w:rsidRPr="00734E48" w:rsidRDefault="00C30B13" w:rsidP="266661F1">
      <w:r>
        <w:t xml:space="preserve">The maximum </w:t>
      </w:r>
      <w:r w:rsidR="63354598">
        <w:t xml:space="preserve">tuition </w:t>
      </w:r>
      <w:r>
        <w:t xml:space="preserve">fee </w:t>
      </w:r>
      <w:r w:rsidR="2C837380">
        <w:t xml:space="preserve">charged </w:t>
      </w:r>
      <w:r>
        <w:t>for</w:t>
      </w:r>
      <w:r w:rsidR="004B319A">
        <w:t xml:space="preserve"> home</w:t>
      </w:r>
      <w:r>
        <w:t xml:space="preserve"> full-time </w:t>
      </w:r>
      <w:r w:rsidR="699BDBFC">
        <w:t xml:space="preserve">undergraduate </w:t>
      </w:r>
      <w:r>
        <w:t xml:space="preserve">study </w:t>
      </w:r>
      <w:r w:rsidR="577F507C">
        <w:t>in</w:t>
      </w:r>
      <w:r>
        <w:t xml:space="preserve"> 2024/25 </w:t>
      </w:r>
      <w:r w:rsidR="000275E2">
        <w:t>will be £9,250</w:t>
      </w:r>
      <w:r w:rsidR="044635BE">
        <w:t xml:space="preserve">. The maximum tuition fee charged for </w:t>
      </w:r>
      <w:r w:rsidR="00C417B3">
        <w:t xml:space="preserve">home </w:t>
      </w:r>
      <w:r w:rsidR="044635BE">
        <w:t>part-time students will be £6,933 (based on a maximum of 90 credits)</w:t>
      </w:r>
      <w:r w:rsidR="006601DE" w:rsidRPr="5E28757F">
        <w:rPr>
          <w:b/>
          <w:bCs/>
        </w:rPr>
        <w:t>.</w:t>
      </w:r>
      <w:r w:rsidR="1FBCDEB9" w:rsidRPr="5E28757F">
        <w:rPr>
          <w:b/>
          <w:bCs/>
        </w:rPr>
        <w:t xml:space="preserve"> </w:t>
      </w:r>
      <w:r w:rsidR="00734E48" w:rsidRPr="008F2A5E">
        <w:t>We will not raise fees annually for 2024-25 new entrants</w:t>
      </w:r>
      <w:r w:rsidR="00F84DD8" w:rsidRPr="008F2A5E">
        <w:rPr>
          <w:rFonts w:ascii="Roboto" w:hAnsi="Roboto"/>
          <w:color w:val="000000"/>
          <w:sz w:val="23"/>
          <w:szCs w:val="23"/>
          <w:shd w:val="clear" w:color="auto" w:fill="FFFFFF"/>
        </w:rPr>
        <w:t>.</w:t>
      </w:r>
    </w:p>
    <w:p w14:paraId="6D064C87" w14:textId="267DF5E3" w:rsidR="00E30B55" w:rsidRDefault="00E30B55" w:rsidP="00E30B55">
      <w:r>
        <w:t xml:space="preserve">See page </w:t>
      </w:r>
      <w:r w:rsidR="00014D71">
        <w:t>69</w:t>
      </w:r>
      <w:r>
        <w:t xml:space="preserve"> of the access and participation plan</w:t>
      </w:r>
      <w:r w:rsidR="00014D71">
        <w:t xml:space="preserve">, and our </w:t>
      </w:r>
      <w:hyperlink r:id="rId12" w:history="1">
        <w:r w:rsidR="00014D71" w:rsidRPr="00014D71">
          <w:rPr>
            <w:rStyle w:val="Hyperlink"/>
          </w:rPr>
          <w:t>website</w:t>
        </w:r>
      </w:hyperlink>
      <w:r>
        <w:t xml:space="preserve"> for more information.</w:t>
      </w:r>
    </w:p>
    <w:p w14:paraId="1F4AFB79" w14:textId="4419F12A" w:rsidR="00E85B8C" w:rsidRDefault="00E85B8C" w:rsidP="266661F1">
      <w:pPr>
        <w:pStyle w:val="Heading4"/>
        <w:rPr>
          <w:b/>
          <w:bCs/>
        </w:rPr>
      </w:pPr>
      <w:r w:rsidRPr="266661F1">
        <w:rPr>
          <w:b/>
          <w:bCs/>
        </w:rPr>
        <w:t xml:space="preserve">Financial help available </w:t>
      </w:r>
    </w:p>
    <w:p w14:paraId="3AC4C51B" w14:textId="203996CC" w:rsidR="008F2A5E" w:rsidRDefault="37A7FDEC" w:rsidP="266661F1">
      <w:r>
        <w:t>Kingston Univ</w:t>
      </w:r>
      <w:r w:rsidR="43CF9F4E">
        <w:t>e</w:t>
      </w:r>
      <w:r>
        <w:t xml:space="preserve">rsity </w:t>
      </w:r>
      <w:r w:rsidR="003106C3">
        <w:t>will provide</w:t>
      </w:r>
      <w:r w:rsidR="43CF9F4E">
        <w:t xml:space="preserve"> at least 500 bursaries of £2,000 each year</w:t>
      </w:r>
      <w:r w:rsidR="18FAC86C">
        <w:t xml:space="preserve"> for </w:t>
      </w:r>
      <w:r w:rsidR="3005B591">
        <w:t>h</w:t>
      </w:r>
      <w:r w:rsidR="5D5B3AFF">
        <w:t xml:space="preserve">ome </w:t>
      </w:r>
      <w:r w:rsidR="18FAC86C">
        <w:t>students with a household income of £25,000 or less</w:t>
      </w:r>
      <w:r w:rsidR="004B046F">
        <w:t xml:space="preserve"> (additional criteria apply)</w:t>
      </w:r>
      <w:r w:rsidR="18FAC86C">
        <w:t xml:space="preserve">. </w:t>
      </w:r>
      <w:r w:rsidR="43CF9F4E">
        <w:t xml:space="preserve">We also </w:t>
      </w:r>
      <w:r w:rsidR="138F3A6F">
        <w:t xml:space="preserve">offer financial support to </w:t>
      </w:r>
      <w:r w:rsidR="43CF9F4E">
        <w:t xml:space="preserve">help </w:t>
      </w:r>
      <w:r w:rsidR="2D8D051E">
        <w:t xml:space="preserve">students </w:t>
      </w:r>
      <w:r w:rsidR="43CF9F4E">
        <w:t>with</w:t>
      </w:r>
      <w:r w:rsidR="07D83327">
        <w:t xml:space="preserve"> living costs,</w:t>
      </w:r>
      <w:r w:rsidR="43CF9F4E">
        <w:t xml:space="preserve"> </w:t>
      </w:r>
      <w:r w:rsidR="50116745">
        <w:t>short term financial problem</w:t>
      </w:r>
      <w:r w:rsidR="7F1F55F9">
        <w:t xml:space="preserve">s and travel </w:t>
      </w:r>
      <w:r w:rsidR="721AA366">
        <w:t xml:space="preserve">(e.g., </w:t>
      </w:r>
      <w:r w:rsidR="7F1F55F9">
        <w:t>course related field trips and study abroad</w:t>
      </w:r>
      <w:r w:rsidR="388920A1">
        <w:t>)</w:t>
      </w:r>
      <w:r w:rsidR="7F1F55F9">
        <w:t xml:space="preserve">. </w:t>
      </w:r>
    </w:p>
    <w:p w14:paraId="1841F504" w14:textId="143E72BF" w:rsidR="74924910" w:rsidRDefault="74924910" w:rsidP="266661F1">
      <w:r>
        <w:t>See page 31 of the access and participation plan</w:t>
      </w:r>
      <w:r w:rsidR="002266BE">
        <w:t xml:space="preserve">, and our </w:t>
      </w:r>
      <w:hyperlink r:id="rId13" w:history="1">
        <w:r w:rsidR="002266BE" w:rsidRPr="002266BE">
          <w:rPr>
            <w:rStyle w:val="Hyperlink"/>
          </w:rPr>
          <w:t>website</w:t>
        </w:r>
      </w:hyperlink>
      <w:r>
        <w:t xml:space="preserve"> for more information about the </w:t>
      </w:r>
      <w:r w:rsidR="008B321A">
        <w:t xml:space="preserve">financial </w:t>
      </w:r>
      <w:r>
        <w:t>support available including maximum amounts and criteria.</w:t>
      </w:r>
    </w:p>
    <w:p w14:paraId="3E41C3C9" w14:textId="35640B0D" w:rsidR="00E85B8C" w:rsidRDefault="00E85B8C" w:rsidP="266661F1">
      <w:pPr>
        <w:pStyle w:val="Heading4"/>
        <w:rPr>
          <w:b/>
          <w:bCs/>
        </w:rPr>
      </w:pPr>
      <w:r w:rsidRPr="266661F1">
        <w:rPr>
          <w:b/>
          <w:bCs/>
        </w:rPr>
        <w:lastRenderedPageBreak/>
        <w:t xml:space="preserve">Information for students </w:t>
      </w:r>
    </w:p>
    <w:p w14:paraId="79DC46E7" w14:textId="77777777" w:rsidR="000304EF" w:rsidRDefault="00D900E5" w:rsidP="00E85B8C">
      <w:r>
        <w:t xml:space="preserve">Updated information on our fees can be found </w:t>
      </w:r>
      <w:hyperlink r:id="rId14">
        <w:r w:rsidR="008362CF" w:rsidRPr="266661F1">
          <w:rPr>
            <w:rStyle w:val="Hyperlink"/>
          </w:rPr>
          <w:t>here</w:t>
        </w:r>
        <w:r w:rsidR="2437FDFF" w:rsidRPr="266661F1">
          <w:rPr>
            <w:rStyle w:val="Hyperlink"/>
          </w:rPr>
          <w:t>.</w:t>
        </w:r>
      </w:hyperlink>
      <w:r w:rsidR="2437FDFF">
        <w:t xml:space="preserve"> In</w:t>
      </w:r>
      <w:r w:rsidR="008362CF">
        <w:t xml:space="preserve">formation on the bursaries available for undergraduate students can be found </w:t>
      </w:r>
      <w:hyperlink r:id="rId15">
        <w:r w:rsidR="008362CF" w:rsidRPr="266661F1">
          <w:rPr>
            <w:rStyle w:val="Hyperlink"/>
          </w:rPr>
          <w:t>here</w:t>
        </w:r>
      </w:hyperlink>
      <w:r w:rsidR="008362CF">
        <w:t>.</w:t>
      </w:r>
      <w:r w:rsidR="000304EF">
        <w:t xml:space="preserve"> </w:t>
      </w:r>
    </w:p>
    <w:p w14:paraId="7C00CC69" w14:textId="7E6B6A5C" w:rsidR="00E85B8C" w:rsidRDefault="00E85B8C" w:rsidP="00E85B8C">
      <w:r>
        <w:t xml:space="preserve">See pages </w:t>
      </w:r>
      <w:r w:rsidR="00DA78A9">
        <w:t>30-31</w:t>
      </w:r>
      <w:r>
        <w:t xml:space="preserve"> of the access and participation plan for more information.</w:t>
      </w:r>
    </w:p>
    <w:p w14:paraId="45AEC28B" w14:textId="1BB8C48B" w:rsidR="00E85B8C" w:rsidRDefault="00E85B8C" w:rsidP="266661F1">
      <w:pPr>
        <w:pStyle w:val="Heading4"/>
        <w:rPr>
          <w:b/>
          <w:bCs/>
        </w:rPr>
      </w:pPr>
      <w:r w:rsidRPr="266661F1">
        <w:rPr>
          <w:b/>
          <w:bCs/>
        </w:rPr>
        <w:t xml:space="preserve">What we are aiming to achieve </w:t>
      </w:r>
    </w:p>
    <w:p w14:paraId="53EF6CD7" w14:textId="4BC0C3F9" w:rsidR="000E667B" w:rsidRDefault="000E667B" w:rsidP="000E667B">
      <w:r>
        <w:t xml:space="preserve">Our analysis </w:t>
      </w:r>
      <w:r w:rsidR="439200B2">
        <w:t xml:space="preserve">shows </w:t>
      </w:r>
      <w:r>
        <w:t xml:space="preserve">that different groups of students </w:t>
      </w:r>
      <w:r w:rsidR="00E9506F">
        <w:t>are at risk of inequality of opportunity at each lifecycle stage</w:t>
      </w:r>
      <w:r w:rsidR="433089AF">
        <w:t>.</w:t>
      </w:r>
      <w:r w:rsidR="000B7BF5">
        <w:t xml:space="preserve"> We </w:t>
      </w:r>
      <w:r w:rsidR="36FA8E19">
        <w:t>have set</w:t>
      </w:r>
      <w:r w:rsidR="0040024E">
        <w:t xml:space="preserve"> </w:t>
      </w:r>
      <w:r w:rsidR="000B7BF5">
        <w:t>challenging targets to</w:t>
      </w:r>
      <w:r w:rsidR="00DF1B00">
        <w:t xml:space="preserve"> </w:t>
      </w:r>
      <w:r w:rsidR="00386850">
        <w:t xml:space="preserve">reduce </w:t>
      </w:r>
      <w:r w:rsidR="00B449DB">
        <w:t xml:space="preserve">unexplained </w:t>
      </w:r>
      <w:r w:rsidR="00386850">
        <w:t>gaps in access and outcomes</w:t>
      </w:r>
      <w:r w:rsidR="006734B0">
        <w:t>, as shown in the table below</w:t>
      </w:r>
      <w:r w:rsidR="00386850">
        <w:t>.</w:t>
      </w:r>
      <w:r w:rsidR="000B7BF5">
        <w:t xml:space="preserve"> </w:t>
      </w:r>
    </w:p>
    <w:tbl>
      <w:tblPr>
        <w:tblStyle w:val="TableGrid"/>
        <w:tblW w:w="9918" w:type="dxa"/>
        <w:tblLook w:val="04A0" w:firstRow="1" w:lastRow="0" w:firstColumn="1" w:lastColumn="0" w:noHBand="0" w:noVBand="1"/>
      </w:tblPr>
      <w:tblGrid>
        <w:gridCol w:w="3213"/>
        <w:gridCol w:w="1696"/>
        <w:gridCol w:w="5009"/>
      </w:tblGrid>
      <w:tr w:rsidR="00C307A3" w14:paraId="59E2D066" w14:textId="77777777" w:rsidTr="2A0AEA36">
        <w:tc>
          <w:tcPr>
            <w:tcW w:w="3213" w:type="dxa"/>
            <w:shd w:val="clear" w:color="auto" w:fill="000000" w:themeFill="text1"/>
          </w:tcPr>
          <w:p w14:paraId="4417352D" w14:textId="0A0C6969" w:rsidR="00C307A3" w:rsidRDefault="00C307A3" w:rsidP="000E667B">
            <w:r>
              <w:t>Stage of student lifecycle</w:t>
            </w:r>
          </w:p>
        </w:tc>
        <w:tc>
          <w:tcPr>
            <w:tcW w:w="1696" w:type="dxa"/>
            <w:shd w:val="clear" w:color="auto" w:fill="000000" w:themeFill="text1"/>
          </w:tcPr>
          <w:p w14:paraId="495FCDA6" w14:textId="51F143E5" w:rsidR="00C307A3" w:rsidRDefault="00C307A3" w:rsidP="000E667B">
            <w:r>
              <w:t>Target group</w:t>
            </w:r>
          </w:p>
        </w:tc>
        <w:tc>
          <w:tcPr>
            <w:tcW w:w="5009" w:type="dxa"/>
            <w:shd w:val="clear" w:color="auto" w:fill="000000" w:themeFill="text1"/>
          </w:tcPr>
          <w:p w14:paraId="7B612C06" w14:textId="626FC2B6" w:rsidR="00C307A3" w:rsidRDefault="00C307A3" w:rsidP="000E667B">
            <w:r>
              <w:t>Target</w:t>
            </w:r>
          </w:p>
        </w:tc>
      </w:tr>
      <w:tr w:rsidR="00C307A3" w14:paraId="316FA63F" w14:textId="77777777" w:rsidTr="2A0AEA36">
        <w:tc>
          <w:tcPr>
            <w:tcW w:w="3213" w:type="dxa"/>
          </w:tcPr>
          <w:p w14:paraId="4EC5119D" w14:textId="65C825B1" w:rsidR="00C307A3" w:rsidRDefault="374DA01F" w:rsidP="000E667B">
            <w:r>
              <w:t>Access</w:t>
            </w:r>
            <w:r w:rsidR="45D3CFA5">
              <w:t xml:space="preserve"> </w:t>
            </w:r>
          </w:p>
          <w:p w14:paraId="646081EB" w14:textId="628AD3B4" w:rsidR="00C307A3" w:rsidRDefault="45D3CFA5" w:rsidP="000E667B">
            <w:r>
              <w:t>(entering higher education)</w:t>
            </w:r>
          </w:p>
          <w:p w14:paraId="141A5C10" w14:textId="5F09BBC1" w:rsidR="00C307A3" w:rsidRDefault="00C307A3" w:rsidP="266661F1"/>
        </w:tc>
        <w:tc>
          <w:tcPr>
            <w:tcW w:w="1696" w:type="dxa"/>
          </w:tcPr>
          <w:p w14:paraId="524A8BF5" w14:textId="33CFF83D" w:rsidR="00C307A3" w:rsidRDefault="00C307A3" w:rsidP="000E667B">
            <w:r>
              <w:t xml:space="preserve">White </w:t>
            </w:r>
            <w:r w:rsidR="00C523E6">
              <w:t>students previously in receipt of free school meals</w:t>
            </w:r>
          </w:p>
        </w:tc>
        <w:tc>
          <w:tcPr>
            <w:tcW w:w="5009" w:type="dxa"/>
          </w:tcPr>
          <w:p w14:paraId="10E80E0C" w14:textId="66D5123F" w:rsidR="00C307A3" w:rsidRDefault="00C523E6" w:rsidP="000E667B">
            <w:r>
              <w:t>Increase proportion of entrants from 5.5% to 7.1% by 2027/28</w:t>
            </w:r>
            <w:r w:rsidR="00523533">
              <w:t>.</w:t>
            </w:r>
          </w:p>
        </w:tc>
      </w:tr>
      <w:tr w:rsidR="00C523E6" w14:paraId="7F51CD3F" w14:textId="77777777" w:rsidTr="2A0AEA36">
        <w:tc>
          <w:tcPr>
            <w:tcW w:w="3213" w:type="dxa"/>
          </w:tcPr>
          <w:p w14:paraId="5B22E5EF" w14:textId="6E401519" w:rsidR="00C523E6" w:rsidRDefault="2BEE9CB3" w:rsidP="000E667B">
            <w:r>
              <w:t>Continuation</w:t>
            </w:r>
            <w:r w:rsidR="1E191ADF">
              <w:t xml:space="preserve"> (continuing studies at Kingston, receiving a qualification or transferring to a different university</w:t>
            </w:r>
            <w:r w:rsidR="73B95177">
              <w:t xml:space="preserve"> on</w:t>
            </w:r>
            <w:r w:rsidR="00052361">
              <w:t>e</w:t>
            </w:r>
            <w:r w:rsidR="73B95177">
              <w:t xml:space="preserve"> year after entry</w:t>
            </w:r>
            <w:r w:rsidR="1E191ADF">
              <w:t>)</w:t>
            </w:r>
          </w:p>
          <w:p w14:paraId="7D4FE6E8" w14:textId="61DDED8D" w:rsidR="00C523E6" w:rsidRDefault="00C523E6" w:rsidP="266661F1"/>
        </w:tc>
        <w:tc>
          <w:tcPr>
            <w:tcW w:w="1696" w:type="dxa"/>
          </w:tcPr>
          <w:p w14:paraId="7D5A3D47" w14:textId="64B8B104" w:rsidR="00C523E6" w:rsidRDefault="34E78A76" w:rsidP="389F41EF">
            <w:r>
              <w:t>ABCS Q1</w:t>
            </w:r>
          </w:p>
        </w:tc>
        <w:tc>
          <w:tcPr>
            <w:tcW w:w="5009" w:type="dxa"/>
          </w:tcPr>
          <w:p w14:paraId="09EDB552" w14:textId="6AE4CE8E" w:rsidR="00C523E6" w:rsidRDefault="006B15C6" w:rsidP="000E667B">
            <w:r>
              <w:t>Decrease the gap between students from ABCS Q1 and ABCS Q5 from 9.0% to 1.3% by 2029/30</w:t>
            </w:r>
            <w:r w:rsidR="00523533">
              <w:t>.</w:t>
            </w:r>
          </w:p>
        </w:tc>
      </w:tr>
      <w:tr w:rsidR="00523533" w14:paraId="798A445F" w14:textId="77777777" w:rsidTr="2A0AEA36">
        <w:tc>
          <w:tcPr>
            <w:tcW w:w="3213" w:type="dxa"/>
            <w:vMerge w:val="restart"/>
          </w:tcPr>
          <w:p w14:paraId="1C297504" w14:textId="4D48685C" w:rsidR="00523533" w:rsidRDefault="16A012B8" w:rsidP="000E667B">
            <w:r>
              <w:t>Completion</w:t>
            </w:r>
            <w:r w:rsidR="0856B09D">
              <w:t xml:space="preserve"> </w:t>
            </w:r>
          </w:p>
          <w:p w14:paraId="79BD735C" w14:textId="7F6F97CD" w:rsidR="00523533" w:rsidRDefault="0856B09D" w:rsidP="000E667B">
            <w:r>
              <w:t>(as continuation</w:t>
            </w:r>
            <w:r w:rsidR="63215CB3">
              <w:t>, but four years after entry)</w:t>
            </w:r>
          </w:p>
        </w:tc>
        <w:tc>
          <w:tcPr>
            <w:tcW w:w="1696" w:type="dxa"/>
          </w:tcPr>
          <w:p w14:paraId="73FF8455" w14:textId="22BCDFCF" w:rsidR="00523533" w:rsidRDefault="00523533" w:rsidP="000E667B">
            <w:r>
              <w:t>Black ethnicity</w:t>
            </w:r>
          </w:p>
        </w:tc>
        <w:tc>
          <w:tcPr>
            <w:tcW w:w="5009" w:type="dxa"/>
          </w:tcPr>
          <w:p w14:paraId="2C84B115" w14:textId="21FEC54E" w:rsidR="00523533" w:rsidRDefault="00523533" w:rsidP="000E667B">
            <w:r>
              <w:t>Decrease the gap between students of Black and White ethnicity from 8.8% to 1.7%</w:t>
            </w:r>
            <w:r w:rsidR="006F1D87">
              <w:t xml:space="preserve"> by 2029/30</w:t>
            </w:r>
            <w:r>
              <w:t>.</w:t>
            </w:r>
          </w:p>
        </w:tc>
      </w:tr>
      <w:tr w:rsidR="00523533" w14:paraId="7448D771" w14:textId="77777777" w:rsidTr="2A0AEA36">
        <w:tc>
          <w:tcPr>
            <w:tcW w:w="3213" w:type="dxa"/>
            <w:vMerge/>
          </w:tcPr>
          <w:p w14:paraId="46E3A226" w14:textId="77777777" w:rsidR="00523533" w:rsidRDefault="00523533" w:rsidP="000E667B"/>
        </w:tc>
        <w:tc>
          <w:tcPr>
            <w:tcW w:w="1696" w:type="dxa"/>
          </w:tcPr>
          <w:p w14:paraId="25D06FE9" w14:textId="7EF7127B" w:rsidR="00523533" w:rsidRDefault="00523533" w:rsidP="000E667B">
            <w:r>
              <w:t>Social or communication disorder</w:t>
            </w:r>
          </w:p>
        </w:tc>
        <w:tc>
          <w:tcPr>
            <w:tcW w:w="5009" w:type="dxa"/>
          </w:tcPr>
          <w:p w14:paraId="794B32C6" w14:textId="77777777" w:rsidR="00523533" w:rsidRDefault="00523533" w:rsidP="00523533">
            <w:r>
              <w:t>Decrease the gap between students with a Social or Communication disorder and no known disability from 6.3% to 1% by 2029/30.</w:t>
            </w:r>
          </w:p>
          <w:p w14:paraId="48620AE5" w14:textId="54E7C5A6" w:rsidR="00523533" w:rsidRDefault="00523533" w:rsidP="000E667B"/>
        </w:tc>
      </w:tr>
      <w:tr w:rsidR="00B5393C" w14:paraId="16F3CF67" w14:textId="77777777" w:rsidTr="2A0AEA36">
        <w:tc>
          <w:tcPr>
            <w:tcW w:w="3213" w:type="dxa"/>
            <w:vMerge w:val="restart"/>
          </w:tcPr>
          <w:p w14:paraId="09062B8B" w14:textId="418D6790" w:rsidR="00B5393C" w:rsidRDefault="057F3E15" w:rsidP="000E667B">
            <w:r>
              <w:t>Attainment</w:t>
            </w:r>
            <w:r w:rsidR="2733CA4E">
              <w:t xml:space="preserve"> </w:t>
            </w:r>
          </w:p>
          <w:p w14:paraId="25E7B3E8" w14:textId="2DB2D051" w:rsidR="00B5393C" w:rsidRDefault="2733CA4E" w:rsidP="000E667B">
            <w:r>
              <w:t>(being awarded a 1</w:t>
            </w:r>
            <w:r w:rsidRPr="2969FC12">
              <w:rPr>
                <w:vertAlign w:val="superscript"/>
              </w:rPr>
              <w:t>st</w:t>
            </w:r>
            <w:r>
              <w:t xml:space="preserve"> or 2.1 degree</w:t>
            </w:r>
            <w:r w:rsidR="6FACA047">
              <w:t xml:space="preserve"> – </w:t>
            </w:r>
            <w:r w:rsidR="4C0374DD">
              <w:t>the difference between the proportion of students from different comparator groups gaining a 1</w:t>
            </w:r>
            <w:r w:rsidR="4C0374DD" w:rsidRPr="2969FC12">
              <w:rPr>
                <w:vertAlign w:val="superscript"/>
              </w:rPr>
              <w:t>st</w:t>
            </w:r>
            <w:r w:rsidR="4C0374DD">
              <w:t xml:space="preserve"> or 2.1 degree is referred to as the ‘degree awarding gap’</w:t>
            </w:r>
            <w:r>
              <w:t>)</w:t>
            </w:r>
          </w:p>
        </w:tc>
        <w:tc>
          <w:tcPr>
            <w:tcW w:w="1696" w:type="dxa"/>
          </w:tcPr>
          <w:p w14:paraId="44EDA39F" w14:textId="7E1CCFF0" w:rsidR="00B5393C" w:rsidRDefault="00B5393C" w:rsidP="000E667B">
            <w:r>
              <w:t>Black ethnicity</w:t>
            </w:r>
          </w:p>
        </w:tc>
        <w:tc>
          <w:tcPr>
            <w:tcW w:w="5009" w:type="dxa"/>
          </w:tcPr>
          <w:p w14:paraId="6BAAEA85" w14:textId="3E078409" w:rsidR="00B5393C" w:rsidRDefault="00B5393C" w:rsidP="00523533">
            <w:r w:rsidRPr="2969FC12">
              <w:rPr>
                <w:rFonts w:ascii="Arial" w:hAnsi="Arial" w:cs="Arial"/>
              </w:rPr>
              <w:t>Reduce the degree awarding gap between students of White and Black ethnicity from 25.4% to 4.0%</w:t>
            </w:r>
            <w:r w:rsidR="0062202D" w:rsidRPr="2969FC12">
              <w:rPr>
                <w:rFonts w:ascii="Arial" w:hAnsi="Arial" w:cs="Arial"/>
              </w:rPr>
              <w:t xml:space="preserve"> by 2029/30</w:t>
            </w:r>
            <w:r w:rsidRPr="2969FC12">
              <w:rPr>
                <w:rFonts w:ascii="Arial" w:hAnsi="Arial" w:cs="Arial"/>
              </w:rPr>
              <w:t>.</w:t>
            </w:r>
          </w:p>
        </w:tc>
      </w:tr>
      <w:tr w:rsidR="00B5393C" w14:paraId="2E75B791" w14:textId="77777777" w:rsidTr="2A0AEA36">
        <w:tc>
          <w:tcPr>
            <w:tcW w:w="3213" w:type="dxa"/>
            <w:vMerge/>
          </w:tcPr>
          <w:p w14:paraId="6663E454" w14:textId="77777777" w:rsidR="00B5393C" w:rsidRDefault="00B5393C" w:rsidP="000E667B"/>
        </w:tc>
        <w:tc>
          <w:tcPr>
            <w:tcW w:w="1696" w:type="dxa"/>
          </w:tcPr>
          <w:p w14:paraId="213B5345" w14:textId="5F5DA88F" w:rsidR="00B5393C" w:rsidRDefault="00B5393C" w:rsidP="000E667B">
            <w:r>
              <w:t>Asian ethnicity</w:t>
            </w:r>
          </w:p>
        </w:tc>
        <w:tc>
          <w:tcPr>
            <w:tcW w:w="5009" w:type="dxa"/>
          </w:tcPr>
          <w:p w14:paraId="7BF62EFE" w14:textId="2591F29B" w:rsidR="00B5393C" w:rsidRDefault="00B5393C" w:rsidP="00523533">
            <w:r>
              <w:rPr>
                <w:rFonts w:ascii="Arial" w:hAnsi="Arial" w:cs="Arial"/>
              </w:rPr>
              <w:t xml:space="preserve">Reduce the degree awarding gap </w:t>
            </w:r>
            <w:r w:rsidRPr="00FC4586">
              <w:rPr>
                <w:rFonts w:ascii="Arial" w:hAnsi="Arial" w:cs="Arial"/>
              </w:rPr>
              <w:t>between students of White and Asian ethnicity from 13.9% to 3.2%</w:t>
            </w:r>
            <w:r w:rsidR="0062202D">
              <w:rPr>
                <w:rFonts w:ascii="Arial" w:hAnsi="Arial" w:cs="Arial"/>
              </w:rPr>
              <w:t xml:space="preserve"> by 2029/30</w:t>
            </w:r>
            <w:r>
              <w:rPr>
                <w:rFonts w:ascii="Arial" w:hAnsi="Arial" w:cs="Arial"/>
              </w:rPr>
              <w:t>.</w:t>
            </w:r>
          </w:p>
        </w:tc>
      </w:tr>
      <w:tr w:rsidR="00B5393C" w14:paraId="423C72BF" w14:textId="77777777" w:rsidTr="2A0AEA36">
        <w:tc>
          <w:tcPr>
            <w:tcW w:w="3213" w:type="dxa"/>
            <w:vMerge/>
          </w:tcPr>
          <w:p w14:paraId="4B4B1912" w14:textId="77777777" w:rsidR="00B5393C" w:rsidRDefault="00B5393C" w:rsidP="000E667B"/>
        </w:tc>
        <w:tc>
          <w:tcPr>
            <w:tcW w:w="1696" w:type="dxa"/>
          </w:tcPr>
          <w:p w14:paraId="1B0DB623" w14:textId="26112A07" w:rsidR="00B5393C" w:rsidRDefault="00B5393C" w:rsidP="000E667B">
            <w:r>
              <w:t>Students previously in receipt of free school meals</w:t>
            </w:r>
          </w:p>
        </w:tc>
        <w:tc>
          <w:tcPr>
            <w:tcW w:w="5009" w:type="dxa"/>
          </w:tcPr>
          <w:p w14:paraId="0FB6A40F" w14:textId="4FEA1D5E" w:rsidR="00B5393C" w:rsidRPr="00523533" w:rsidRDefault="00B5393C" w:rsidP="00523533">
            <w:pPr>
              <w:autoSpaceDE w:val="0"/>
              <w:autoSpaceDN w:val="0"/>
              <w:adjustRightInd w:val="0"/>
              <w:rPr>
                <w:rFonts w:ascii="Arial" w:hAnsi="Arial" w:cs="Arial"/>
              </w:rPr>
            </w:pPr>
            <w:r>
              <w:rPr>
                <w:rFonts w:ascii="Arial" w:hAnsi="Arial" w:cs="Arial"/>
              </w:rPr>
              <w:t xml:space="preserve">Reduce the degree awarding gap </w:t>
            </w:r>
            <w:r w:rsidRPr="00523533">
              <w:rPr>
                <w:rFonts w:ascii="Arial" w:hAnsi="Arial" w:cs="Arial"/>
              </w:rPr>
              <w:t>between students previously in receipt of Free School Meals and those who were not from 12.9% to 3.3%</w:t>
            </w:r>
            <w:r w:rsidR="0062202D">
              <w:rPr>
                <w:rFonts w:ascii="Arial" w:hAnsi="Arial" w:cs="Arial"/>
              </w:rPr>
              <w:t xml:space="preserve"> by 2029/30</w:t>
            </w:r>
            <w:r w:rsidRPr="00523533">
              <w:rPr>
                <w:rFonts w:ascii="Arial" w:hAnsi="Arial" w:cs="Arial"/>
              </w:rPr>
              <w:t>.</w:t>
            </w:r>
          </w:p>
          <w:p w14:paraId="78111415" w14:textId="77777777" w:rsidR="00B5393C" w:rsidRDefault="00B5393C" w:rsidP="00523533"/>
        </w:tc>
      </w:tr>
      <w:tr w:rsidR="00523533" w14:paraId="2043AEFA" w14:textId="77777777" w:rsidTr="2A0AEA36">
        <w:tc>
          <w:tcPr>
            <w:tcW w:w="3213" w:type="dxa"/>
          </w:tcPr>
          <w:p w14:paraId="6AB9E08D" w14:textId="507CEA8B" w:rsidR="00523533" w:rsidRDefault="16A012B8" w:rsidP="000E667B">
            <w:r>
              <w:t>Progression</w:t>
            </w:r>
            <w:r w:rsidR="0D5C728C">
              <w:t xml:space="preserve"> </w:t>
            </w:r>
          </w:p>
          <w:p w14:paraId="6818A7FD" w14:textId="470BEA47" w:rsidR="00523533" w:rsidRDefault="0D5C728C" w:rsidP="266661F1">
            <w:r>
              <w:t>(moving into professional employment or fu</w:t>
            </w:r>
            <w:r w:rsidR="00A374E9">
              <w:t>r</w:t>
            </w:r>
            <w:r>
              <w:t>ther study after graduation)</w:t>
            </w:r>
          </w:p>
        </w:tc>
        <w:tc>
          <w:tcPr>
            <w:tcW w:w="1696" w:type="dxa"/>
          </w:tcPr>
          <w:p w14:paraId="14F178CB" w14:textId="6D2753E4" w:rsidR="00523533" w:rsidRDefault="00B5393C" w:rsidP="000E667B">
            <w:r>
              <w:t>ABCS Q1</w:t>
            </w:r>
          </w:p>
        </w:tc>
        <w:tc>
          <w:tcPr>
            <w:tcW w:w="5009" w:type="dxa"/>
          </w:tcPr>
          <w:p w14:paraId="2411A642" w14:textId="22AB2304" w:rsidR="00B5393C" w:rsidRPr="00882903" w:rsidRDefault="00B5393C" w:rsidP="00B5393C">
            <w:pPr>
              <w:autoSpaceDE w:val="0"/>
              <w:autoSpaceDN w:val="0"/>
              <w:adjustRightInd w:val="0"/>
            </w:pPr>
            <w:r>
              <w:rPr>
                <w:rFonts w:ascii="Arial" w:hAnsi="Arial" w:cs="Arial"/>
              </w:rPr>
              <w:t>R</w:t>
            </w:r>
            <w:r w:rsidRPr="00B5393C">
              <w:rPr>
                <w:rFonts w:ascii="Arial" w:hAnsi="Arial" w:cs="Arial"/>
              </w:rPr>
              <w:t>educe the gap between students in ABCS Q1 and ABCS Q5 from 24.1% to 7.5% by 2029/30.</w:t>
            </w:r>
          </w:p>
          <w:p w14:paraId="0EB3BC18" w14:textId="77777777" w:rsidR="00523533" w:rsidRDefault="00523533" w:rsidP="00523533">
            <w:pPr>
              <w:autoSpaceDE w:val="0"/>
              <w:autoSpaceDN w:val="0"/>
              <w:adjustRightInd w:val="0"/>
              <w:rPr>
                <w:rFonts w:ascii="Arial" w:hAnsi="Arial" w:cs="Arial"/>
              </w:rPr>
            </w:pPr>
          </w:p>
        </w:tc>
      </w:tr>
    </w:tbl>
    <w:p w14:paraId="2A53E0D9" w14:textId="77777777" w:rsidR="001D576A" w:rsidRDefault="001D576A" w:rsidP="001D576A">
      <w:pPr>
        <w:autoSpaceDE w:val="0"/>
        <w:autoSpaceDN w:val="0"/>
        <w:adjustRightInd w:val="0"/>
        <w:spacing w:after="0" w:line="240" w:lineRule="auto"/>
      </w:pPr>
    </w:p>
    <w:p w14:paraId="5C6A25A3" w14:textId="3BE3B998" w:rsidR="00E85B8C" w:rsidRDefault="00E85B8C" w:rsidP="001D576A">
      <w:pPr>
        <w:autoSpaceDE w:val="0"/>
        <w:autoSpaceDN w:val="0"/>
        <w:adjustRightInd w:val="0"/>
        <w:spacing w:after="0" w:line="240" w:lineRule="auto"/>
      </w:pPr>
      <w:r>
        <w:t xml:space="preserve">See pages </w:t>
      </w:r>
      <w:r w:rsidR="00DA78A9">
        <w:t>4-5</w:t>
      </w:r>
      <w:r>
        <w:t xml:space="preserve"> of the access and participation plan for more information.</w:t>
      </w:r>
    </w:p>
    <w:p w14:paraId="141C293A" w14:textId="77777777" w:rsidR="00DA77A0" w:rsidRDefault="00DA77A0" w:rsidP="00E85B8C">
      <w:pPr>
        <w:pStyle w:val="Heading4"/>
      </w:pPr>
    </w:p>
    <w:p w14:paraId="6F32C191" w14:textId="084A8584" w:rsidR="00E85B8C" w:rsidRDefault="00E85B8C" w:rsidP="266661F1">
      <w:pPr>
        <w:pStyle w:val="Heading4"/>
        <w:rPr>
          <w:b/>
          <w:bCs/>
        </w:rPr>
      </w:pPr>
      <w:r w:rsidRPr="266661F1">
        <w:rPr>
          <w:b/>
          <w:bCs/>
        </w:rPr>
        <w:t>What we are doing to a</w:t>
      </w:r>
      <w:r w:rsidR="419FC205" w:rsidRPr="266661F1">
        <w:rPr>
          <w:b/>
          <w:bCs/>
        </w:rPr>
        <w:t>ddress keys risks to equality of opportunity</w:t>
      </w:r>
      <w:r w:rsidRPr="266661F1">
        <w:rPr>
          <w:b/>
          <w:bCs/>
        </w:rPr>
        <w:t xml:space="preserve"> </w:t>
      </w:r>
    </w:p>
    <w:p w14:paraId="2846A99D" w14:textId="5BFB3C80" w:rsidR="00E91295" w:rsidRDefault="661057A2" w:rsidP="266661F1">
      <w:r>
        <w:t xml:space="preserve">We </w:t>
      </w:r>
      <w:r w:rsidR="3EF12F58">
        <w:t>take a whole university, whole lifecycle approach to supporting access and participation.</w:t>
      </w:r>
      <w:r w:rsidR="58A5890C">
        <w:t xml:space="preserve"> </w:t>
      </w:r>
      <w:r w:rsidR="53F253CC">
        <w:t xml:space="preserve">This </w:t>
      </w:r>
      <w:r w:rsidR="58A5890C">
        <w:t>include</w:t>
      </w:r>
      <w:r w:rsidR="0DE21049">
        <w:t>s</w:t>
      </w:r>
      <w:r w:rsidR="58A5890C">
        <w:t xml:space="preserve"> </w:t>
      </w:r>
      <w:r w:rsidR="0047761C">
        <w:t xml:space="preserve">both large-scale </w:t>
      </w:r>
      <w:r w:rsidR="58A5890C">
        <w:t xml:space="preserve">strategic programmes and highly targeted </w:t>
      </w:r>
      <w:r w:rsidR="4AB740B9">
        <w:t>activities</w:t>
      </w:r>
      <w:r w:rsidR="58A5890C">
        <w:t>.</w:t>
      </w:r>
      <w:r w:rsidR="3EF12F58">
        <w:t xml:space="preserve"> </w:t>
      </w:r>
      <w:r w:rsidR="6D83F52B">
        <w:t xml:space="preserve">Our approach combines support for </w:t>
      </w:r>
      <w:r w:rsidR="2869E13B">
        <w:t xml:space="preserve">our </w:t>
      </w:r>
      <w:r w:rsidR="6D83F52B">
        <w:t>students, improvements to policies and processes and actions to enhance the knowledge and skills of staff.</w:t>
      </w:r>
      <w:r w:rsidR="3EF12F58">
        <w:t xml:space="preserve"> </w:t>
      </w:r>
    </w:p>
    <w:p w14:paraId="38C69B09" w14:textId="77777777" w:rsidR="00F65D97" w:rsidRDefault="425266A7">
      <w:r>
        <w:t xml:space="preserve">Our school and college outreach programme </w:t>
      </w:r>
      <w:r w:rsidR="0214810E">
        <w:t>raises</w:t>
      </w:r>
      <w:r>
        <w:t xml:space="preserve"> awareness</w:t>
      </w:r>
      <w:r w:rsidR="1BC274FE">
        <w:t xml:space="preserve"> about higher education</w:t>
      </w:r>
      <w:r w:rsidR="16FD45F1">
        <w:t xml:space="preserve"> and provides information to young people about their options</w:t>
      </w:r>
      <w:r w:rsidR="523CBB79">
        <w:t xml:space="preserve">. </w:t>
      </w:r>
    </w:p>
    <w:p w14:paraId="4FC4D365" w14:textId="38AA8DFF" w:rsidR="64F90C4A" w:rsidRDefault="523CBB79">
      <w:r>
        <w:lastRenderedPageBreak/>
        <w:t xml:space="preserve">We will focus on </w:t>
      </w:r>
      <w:r w:rsidR="282770F3">
        <w:t xml:space="preserve">building </w:t>
      </w:r>
      <w:r w:rsidR="425266A7">
        <w:t xml:space="preserve">strategic relationships, </w:t>
      </w:r>
      <w:r w:rsidR="5549AE76">
        <w:t xml:space="preserve">developing </w:t>
      </w:r>
      <w:r w:rsidR="0610C816">
        <w:t xml:space="preserve">sustained programmes </w:t>
      </w:r>
      <w:r w:rsidR="425266A7">
        <w:t>and support</w:t>
      </w:r>
      <w:r w:rsidR="0C775E7A">
        <w:t xml:space="preserve">ing schools to raise </w:t>
      </w:r>
      <w:r w:rsidR="26AC2BA0">
        <w:t xml:space="preserve">the </w:t>
      </w:r>
      <w:r w:rsidR="425266A7">
        <w:t>attainment</w:t>
      </w:r>
      <w:r w:rsidR="604DA367">
        <w:t xml:space="preserve"> of their pre-16 students</w:t>
      </w:r>
      <w:r w:rsidR="64F90C4A">
        <w:t>.</w:t>
      </w:r>
      <w:r w:rsidR="00F65D97">
        <w:t xml:space="preserve"> </w:t>
      </w:r>
      <w:r w:rsidR="64F90C4A">
        <w:t xml:space="preserve">Students </w:t>
      </w:r>
      <w:r w:rsidR="7B14E796">
        <w:t xml:space="preserve">from target groups </w:t>
      </w:r>
      <w:r w:rsidR="554BC0F1">
        <w:t>ar</w:t>
      </w:r>
      <w:r w:rsidR="64F90C4A">
        <w:t xml:space="preserve">e supported in their transition to </w:t>
      </w:r>
      <w:r w:rsidR="00566D96">
        <w:t>university</w:t>
      </w:r>
      <w:r w:rsidR="64F90C4A">
        <w:t xml:space="preserve"> through our </w:t>
      </w:r>
      <w:hyperlink r:id="rId16" w:history="1">
        <w:r w:rsidR="64F90C4A" w:rsidRPr="00177935">
          <w:rPr>
            <w:rStyle w:val="Hyperlink"/>
          </w:rPr>
          <w:t>Head Start programme</w:t>
        </w:r>
      </w:hyperlink>
      <w:r w:rsidR="5BBB2F10">
        <w:t xml:space="preserve"> and Autism Transition Day</w:t>
      </w:r>
      <w:r w:rsidR="64F90C4A">
        <w:t xml:space="preserve">. </w:t>
      </w:r>
    </w:p>
    <w:p w14:paraId="415EB1B6" w14:textId="66B74805" w:rsidR="254E314B" w:rsidRDefault="254E314B" w:rsidP="266661F1">
      <w:r>
        <w:t>Our courses are designed to be inclusive of all students. We will increase staff training around inclusive teaching practic</w:t>
      </w:r>
      <w:r w:rsidR="1D329930">
        <w:t>e and engage students in the development of</w:t>
      </w:r>
      <w:r w:rsidR="009C74E1">
        <w:t xml:space="preserve"> course content</w:t>
      </w:r>
      <w:r w:rsidR="1D329930">
        <w:t xml:space="preserve">. </w:t>
      </w:r>
      <w:r w:rsidR="44B5AD47">
        <w:t>D</w:t>
      </w:r>
      <w:r w:rsidR="76A2A786">
        <w:t xml:space="preserve">ata </w:t>
      </w:r>
      <w:r w:rsidR="6E9A2EF8">
        <w:t>dashboards</w:t>
      </w:r>
      <w:r w:rsidR="08EF0078">
        <w:t xml:space="preserve"> will</w:t>
      </w:r>
      <w:r w:rsidR="76A2A786">
        <w:t xml:space="preserve"> help </w:t>
      </w:r>
      <w:r w:rsidR="08ED57DC">
        <w:t xml:space="preserve">staff </w:t>
      </w:r>
      <w:r w:rsidR="76A2A786">
        <w:t>identify and address areas of concern, including differential outcomes.</w:t>
      </w:r>
    </w:p>
    <w:p w14:paraId="59FD191F" w14:textId="21C1014E" w:rsidR="25C42A53" w:rsidRDefault="58558B53" w:rsidP="266661F1">
      <w:r>
        <w:t>We are introducing core modules to embed Future Skills in the curriculum at all levels of study</w:t>
      </w:r>
      <w:r w:rsidR="014CBE57">
        <w:t xml:space="preserve"> to improve student</w:t>
      </w:r>
      <w:r w:rsidR="3D2CCE52">
        <w:t>s’ personal and professional development, and</w:t>
      </w:r>
      <w:r w:rsidR="014CBE57">
        <w:t xml:space="preserve"> employability</w:t>
      </w:r>
      <w:r>
        <w:t xml:space="preserve">. This new approach </w:t>
      </w:r>
      <w:r w:rsidR="40C4C9ED">
        <w:t>embeds</w:t>
      </w:r>
      <w:r w:rsidR="714490AC">
        <w:t xml:space="preserve"> </w:t>
      </w:r>
      <w:r w:rsidR="7D688FFA">
        <w:t>high value</w:t>
      </w:r>
      <w:r w:rsidR="64BFF872">
        <w:t xml:space="preserve"> </w:t>
      </w:r>
      <w:r w:rsidR="7D688FFA">
        <w:t>activities</w:t>
      </w:r>
      <w:r w:rsidR="506F48EB">
        <w:t xml:space="preserve"> that were</w:t>
      </w:r>
      <w:r w:rsidR="7D688FFA">
        <w:t xml:space="preserve"> </w:t>
      </w:r>
      <w:r w:rsidR="2B6D3C60">
        <w:t xml:space="preserve">once </w:t>
      </w:r>
      <w:r w:rsidR="6E6AAD77">
        <w:t>extra-curricular into the curriculum</w:t>
      </w:r>
      <w:r w:rsidR="7D688FFA">
        <w:t>, so all students</w:t>
      </w:r>
      <w:r w:rsidR="4B2C013A">
        <w:t xml:space="preserve"> can benefit</w:t>
      </w:r>
      <w:r w:rsidR="7D688FFA">
        <w:t>.</w:t>
      </w:r>
      <w:r>
        <w:t xml:space="preserve"> </w:t>
      </w:r>
    </w:p>
    <w:p w14:paraId="2216C809" w14:textId="7FF0DFD5" w:rsidR="5E0981DC" w:rsidRDefault="2FEB6769" w:rsidP="266661F1">
      <w:r>
        <w:t xml:space="preserve">We will </w:t>
      </w:r>
      <w:r w:rsidR="41BD1656">
        <w:t xml:space="preserve">continue to </w:t>
      </w:r>
      <w:r w:rsidR="48AB6FD1">
        <w:t>improve</w:t>
      </w:r>
      <w:r>
        <w:t xml:space="preserve"> our academic s</w:t>
      </w:r>
      <w:r w:rsidR="7965CE5B">
        <w:t>upport provision and mak</w:t>
      </w:r>
      <w:r w:rsidR="5192EDF1">
        <w:t>e</w:t>
      </w:r>
      <w:r w:rsidR="7965CE5B">
        <w:t xml:space="preserve"> </w:t>
      </w:r>
      <w:r w:rsidR="5E704E57">
        <w:t xml:space="preserve">it </w:t>
      </w:r>
      <w:r w:rsidR="7965CE5B">
        <w:t>easier for students to access.</w:t>
      </w:r>
      <w:r w:rsidR="23799473">
        <w:t xml:space="preserve"> We will </w:t>
      </w:r>
      <w:r w:rsidR="373204E4">
        <w:t xml:space="preserve">further </w:t>
      </w:r>
      <w:r w:rsidR="3578ED44">
        <w:t>enhance</w:t>
      </w:r>
      <w:r w:rsidR="23799473">
        <w:t xml:space="preserve"> our personal tutor scheme to</w:t>
      </w:r>
      <w:r w:rsidR="54A52A8C">
        <w:t xml:space="preserve"> ensure that it provides personalised support and continues to be</w:t>
      </w:r>
      <w:r w:rsidR="23799473">
        <w:t xml:space="preserve"> tailored to the diverse needs of</w:t>
      </w:r>
      <w:r w:rsidR="520A44C6">
        <w:t xml:space="preserve"> our</w:t>
      </w:r>
      <w:r w:rsidR="23799473">
        <w:t xml:space="preserve"> students.</w:t>
      </w:r>
    </w:p>
    <w:p w14:paraId="6E904237" w14:textId="3C6D4908" w:rsidR="311D0FF0" w:rsidRDefault="64288CF1">
      <w:r>
        <w:t>D</w:t>
      </w:r>
      <w:r w:rsidR="1831939D">
        <w:t xml:space="preserve">ata sources and </w:t>
      </w:r>
      <w:r w:rsidR="0569666B">
        <w:t>process</w:t>
      </w:r>
      <w:r w:rsidR="5B7A8CFE">
        <w:t xml:space="preserve">es will be </w:t>
      </w:r>
      <w:r w:rsidR="3973B282">
        <w:t>enhanced and developed</w:t>
      </w:r>
      <w:r w:rsidR="5B7A8CFE">
        <w:t xml:space="preserve"> to </w:t>
      </w:r>
      <w:r w:rsidR="0569666B">
        <w:t>help us identify students at risk of disengagement so support can be offered at the earliest possible stage.</w:t>
      </w:r>
    </w:p>
    <w:p w14:paraId="6446DC6E" w14:textId="07212EE8" w:rsidR="771197D2" w:rsidRDefault="771197D2" w:rsidP="266661F1">
      <w:r>
        <w:t xml:space="preserve">We will </w:t>
      </w:r>
      <w:r w:rsidR="2D9AE4E9">
        <w:t xml:space="preserve">implement new structures in student services </w:t>
      </w:r>
      <w:r w:rsidR="65F6055F">
        <w:t>to deliver seamless</w:t>
      </w:r>
      <w:r w:rsidR="434C91D1">
        <w:t xml:space="preserve"> </w:t>
      </w:r>
      <w:r w:rsidR="41FF77AA">
        <w:t xml:space="preserve">and accessible </w:t>
      </w:r>
      <w:r w:rsidR="65F6055F">
        <w:t>support</w:t>
      </w:r>
      <w:r w:rsidR="78A5B2D6">
        <w:t>.</w:t>
      </w:r>
      <w:r w:rsidR="6FE8FA83">
        <w:t xml:space="preserve"> Our </w:t>
      </w:r>
      <w:hyperlink r:id="rId17" w:history="1">
        <w:r w:rsidR="005369F2" w:rsidRPr="002866DA">
          <w:rPr>
            <w:rStyle w:val="Hyperlink"/>
          </w:rPr>
          <w:t>Mental Health and Wellbeing Framework</w:t>
        </w:r>
      </w:hyperlink>
      <w:r w:rsidR="2D5F0EB4">
        <w:t xml:space="preserve"> </w:t>
      </w:r>
      <w:r w:rsidR="005369F2">
        <w:t xml:space="preserve">sets out our </w:t>
      </w:r>
      <w:r w:rsidR="57B559B8">
        <w:t>institutional approach</w:t>
      </w:r>
      <w:r w:rsidR="00996E4B">
        <w:t xml:space="preserve"> </w:t>
      </w:r>
      <w:r w:rsidR="00E07228">
        <w:t>to this work</w:t>
      </w:r>
      <w:r w:rsidR="57B559B8">
        <w:t xml:space="preserve">. </w:t>
      </w:r>
      <w:r w:rsidR="2D5F0EB4">
        <w:t xml:space="preserve"> </w:t>
      </w:r>
    </w:p>
    <w:p w14:paraId="196681E9" w14:textId="73159AAE" w:rsidR="2EE7FF10" w:rsidRDefault="2EE7FF10" w:rsidP="266661F1">
      <w:r>
        <w:t xml:space="preserve">We </w:t>
      </w:r>
      <w:r w:rsidR="247E18E8">
        <w:t xml:space="preserve">will </w:t>
      </w:r>
      <w:r w:rsidR="007F6355">
        <w:t xml:space="preserve">robustly </w:t>
      </w:r>
      <w:r w:rsidR="247E18E8">
        <w:t>tackle</w:t>
      </w:r>
      <w:r>
        <w:t xml:space="preserve"> all forms of racism, harassment</w:t>
      </w:r>
      <w:r w:rsidR="00996E4B">
        <w:t>,</w:t>
      </w:r>
      <w:r>
        <w:t xml:space="preserve"> and sexual misconduct on our campus</w:t>
      </w:r>
      <w:r w:rsidR="348268E2">
        <w:t>es</w:t>
      </w:r>
      <w:r>
        <w:t xml:space="preserve"> through improved reporting tools, </w:t>
      </w:r>
      <w:r w:rsidR="48B1F44F">
        <w:t xml:space="preserve">educational events and communication campaigns. </w:t>
      </w:r>
    </w:p>
    <w:p w14:paraId="333FD535" w14:textId="49FEF87D" w:rsidR="797BE72E" w:rsidRDefault="797BE72E" w:rsidP="266661F1">
      <w:r>
        <w:t xml:space="preserve">We will </w:t>
      </w:r>
      <w:r w:rsidR="002A4C61">
        <w:t xml:space="preserve">continue to </w:t>
      </w:r>
      <w:r w:rsidR="3D087179">
        <w:t>build on successful</w:t>
      </w:r>
      <w:r w:rsidR="00B01727">
        <w:t>,</w:t>
      </w:r>
      <w:r w:rsidR="3D087179">
        <w:t xml:space="preserve"> </w:t>
      </w:r>
      <w:r>
        <w:t>h</w:t>
      </w:r>
      <w:r w:rsidR="778790DA">
        <w:t>ighly targeted initiatives</w:t>
      </w:r>
      <w:r w:rsidR="14B5D8FE">
        <w:t>, for example</w:t>
      </w:r>
      <w:r w:rsidR="778790DA">
        <w:t xml:space="preserve">: </w:t>
      </w:r>
      <w:r w:rsidR="001E7E57">
        <w:t xml:space="preserve">our </w:t>
      </w:r>
      <w:r w:rsidR="6ACFA5E8">
        <w:t xml:space="preserve">Elevate </w:t>
      </w:r>
      <w:r w:rsidR="001E7E57">
        <w:t xml:space="preserve">programme </w:t>
      </w:r>
      <w:r w:rsidR="6ACFA5E8">
        <w:t>for students from Black heritage backgrounds</w:t>
      </w:r>
      <w:r w:rsidR="0F2D9417">
        <w:t>;</w:t>
      </w:r>
      <w:r w:rsidR="6ACFA5E8">
        <w:t xml:space="preserve"> KU Cares </w:t>
      </w:r>
      <w:r w:rsidR="45A585C3">
        <w:t xml:space="preserve">for </w:t>
      </w:r>
      <w:r w:rsidR="173B0C75">
        <w:t xml:space="preserve">young carers, </w:t>
      </w:r>
      <w:r w:rsidR="6ACFA5E8">
        <w:t xml:space="preserve">care </w:t>
      </w:r>
      <w:r w:rsidR="76321166">
        <w:t xml:space="preserve">leavers, </w:t>
      </w:r>
      <w:r w:rsidR="6ACFA5E8">
        <w:t>estranged students</w:t>
      </w:r>
      <w:r w:rsidR="0A84C628">
        <w:t xml:space="preserve"> </w:t>
      </w:r>
      <w:r w:rsidR="4C74DC02">
        <w:t>and sanctuary scholars</w:t>
      </w:r>
      <w:r w:rsidR="7C5E7A15">
        <w:t xml:space="preserve">; Beyond Barriers for groups underrepresented in higher education or facing specific challenges. </w:t>
      </w:r>
    </w:p>
    <w:p w14:paraId="0938D256" w14:textId="0D185522" w:rsidR="00E85B8C" w:rsidRDefault="00E85B8C" w:rsidP="00E85B8C">
      <w:r>
        <w:t xml:space="preserve">See pages </w:t>
      </w:r>
      <w:r w:rsidR="0093701A">
        <w:t>6-24</w:t>
      </w:r>
      <w:r>
        <w:t xml:space="preserve"> of the access and participation plan for more information.</w:t>
      </w:r>
    </w:p>
    <w:p w14:paraId="63E9EE0E" w14:textId="041A2D7F" w:rsidR="00E85B8C" w:rsidRDefault="00E85B8C" w:rsidP="266661F1">
      <w:pPr>
        <w:pStyle w:val="Heading4"/>
        <w:rPr>
          <w:b/>
          <w:bCs/>
        </w:rPr>
      </w:pPr>
      <w:r w:rsidRPr="266661F1">
        <w:rPr>
          <w:b/>
          <w:bCs/>
        </w:rPr>
        <w:t xml:space="preserve">How students can get involved </w:t>
      </w:r>
    </w:p>
    <w:p w14:paraId="5441C570" w14:textId="1AAABCAD" w:rsidR="4484FB7E" w:rsidRPr="00D2459D" w:rsidRDefault="4484FB7E" w:rsidP="16F94C30">
      <w:r>
        <w:t xml:space="preserve">The University works closely with the Union </w:t>
      </w:r>
      <w:r w:rsidR="00A475D4">
        <w:t>of</w:t>
      </w:r>
      <w:r w:rsidR="00132709">
        <w:t xml:space="preserve"> Kingston Students </w:t>
      </w:r>
      <w:r>
        <w:t>and regular meetings will take place to discuss progress against the measures in our plan.</w:t>
      </w:r>
      <w:r w:rsidR="664F2CBE">
        <w:t xml:space="preserve"> </w:t>
      </w:r>
      <w:r>
        <w:t>Students are involved in projects and initiatives as ambassadors, consultants</w:t>
      </w:r>
      <w:r w:rsidR="009303E3">
        <w:t>, panel members</w:t>
      </w:r>
      <w:r>
        <w:t xml:space="preserve"> and </w:t>
      </w:r>
      <w:r w:rsidR="11AC0F2F">
        <w:t>interns. We also offer students the opportunity to work with academic staff on educational research.</w:t>
      </w:r>
    </w:p>
    <w:p w14:paraId="205E6D7F" w14:textId="49AADCAA" w:rsidR="00E85B8C" w:rsidRDefault="00E85B8C" w:rsidP="00E85B8C">
      <w:r>
        <w:t xml:space="preserve">See pages </w:t>
      </w:r>
      <w:r w:rsidR="00466E1B">
        <w:t>28-29</w:t>
      </w:r>
      <w:r>
        <w:t xml:space="preserve"> of the access and </w:t>
      </w:r>
      <w:r w:rsidR="007833EC">
        <w:t>participatio</w:t>
      </w:r>
      <w:r>
        <w:t>n plan for more information.</w:t>
      </w:r>
    </w:p>
    <w:p w14:paraId="619B75E1" w14:textId="40897EFB" w:rsidR="00E85B8C" w:rsidRDefault="00E85B8C" w:rsidP="266661F1">
      <w:pPr>
        <w:pStyle w:val="Heading4"/>
        <w:rPr>
          <w:b/>
          <w:bCs/>
        </w:rPr>
      </w:pPr>
      <w:r w:rsidRPr="266661F1">
        <w:rPr>
          <w:b/>
          <w:bCs/>
        </w:rPr>
        <w:t xml:space="preserve">Evaluation – how we will measure what we have achieved </w:t>
      </w:r>
    </w:p>
    <w:p w14:paraId="18B6D1EF" w14:textId="0964545A" w:rsidR="003A11C8" w:rsidRDefault="003A11C8" w:rsidP="00E85B8C">
      <w:r>
        <w:t xml:space="preserve">Each of the individual activities </w:t>
      </w:r>
      <w:r w:rsidR="00D34289">
        <w:t xml:space="preserve">delivered as part of the access and participation plan will be evaluated, with those evaluations published on our website. </w:t>
      </w:r>
    </w:p>
    <w:p w14:paraId="2D6C2484" w14:textId="2ECEBA26" w:rsidR="003A11C8" w:rsidRDefault="002C3208" w:rsidP="00E85B8C">
      <w:r>
        <w:t>Where appropriate data is available</w:t>
      </w:r>
      <w:r w:rsidR="7E642046">
        <w:t>,</w:t>
      </w:r>
      <w:r>
        <w:t xml:space="preserve"> we will determine</w:t>
      </w:r>
      <w:r w:rsidR="0096772B">
        <w:t xml:space="preserve"> whether there is any correlation between engagement in </w:t>
      </w:r>
      <w:r w:rsidR="4667BB1A">
        <w:t xml:space="preserve">an </w:t>
      </w:r>
      <w:r w:rsidR="0096772B">
        <w:t xml:space="preserve">activity and </w:t>
      </w:r>
      <w:r w:rsidR="25AD8E18">
        <w:t>its</w:t>
      </w:r>
      <w:r w:rsidR="0096772B">
        <w:t xml:space="preserve"> </w:t>
      </w:r>
      <w:r w:rsidR="00C03CE7">
        <w:t xml:space="preserve">desired aims. </w:t>
      </w:r>
      <w:r>
        <w:t>Our analysis will</w:t>
      </w:r>
      <w:r w:rsidR="00C03CE7">
        <w:t xml:space="preserve"> </w:t>
      </w:r>
      <w:r w:rsidR="516D9839">
        <w:t xml:space="preserve">help us </w:t>
      </w:r>
      <w:r w:rsidR="00C03CE7">
        <w:t xml:space="preserve">further enhance and develop our </w:t>
      </w:r>
      <w:r w:rsidR="7BBC23C3">
        <w:t xml:space="preserve">own </w:t>
      </w:r>
      <w:r w:rsidR="00C03CE7">
        <w:t xml:space="preserve">activity, as well </w:t>
      </w:r>
      <w:r w:rsidR="12249EC4">
        <w:t>as benefitting the wider</w:t>
      </w:r>
      <w:r w:rsidR="00C03CE7">
        <w:t xml:space="preserve"> higher education community </w:t>
      </w:r>
      <w:r w:rsidR="78E6F524">
        <w:t xml:space="preserve">by advancing </w:t>
      </w:r>
      <w:r w:rsidR="00C03CE7">
        <w:t>sector knowledge on what works.</w:t>
      </w:r>
    </w:p>
    <w:p w14:paraId="47771DC4" w14:textId="1299B98D" w:rsidR="00907A59" w:rsidRDefault="00907A59" w:rsidP="00E85B8C">
      <w:r>
        <w:t>Students will be involved in</w:t>
      </w:r>
      <w:r w:rsidR="00016E21">
        <w:t xml:space="preserve"> evaluation as part of surveys and focus groups, and results will be shared with students on our webpages. In addition, </w:t>
      </w:r>
      <w:r w:rsidR="00AF0EF0">
        <w:t xml:space="preserve">the Union </w:t>
      </w:r>
      <w:r w:rsidR="00A475D4">
        <w:t xml:space="preserve">of Kingston Students </w:t>
      </w:r>
      <w:r w:rsidR="00AF0EF0">
        <w:t xml:space="preserve">will be </w:t>
      </w:r>
      <w:r w:rsidR="641D2943">
        <w:t>participants in</w:t>
      </w:r>
      <w:r w:rsidR="00AF0EF0">
        <w:t xml:space="preserve"> meetings where evaluation is </w:t>
      </w:r>
      <w:r w:rsidR="33E67908">
        <w:t xml:space="preserve">shared and </w:t>
      </w:r>
      <w:r w:rsidR="00AF0EF0">
        <w:t>considered.</w:t>
      </w:r>
    </w:p>
    <w:p w14:paraId="2406234A" w14:textId="1EA4A574" w:rsidR="00E85B8C" w:rsidRDefault="00E85B8C" w:rsidP="00E85B8C">
      <w:r>
        <w:t xml:space="preserve">See pages </w:t>
      </w:r>
      <w:r w:rsidR="00CE3061">
        <w:t>60-68</w:t>
      </w:r>
      <w:r>
        <w:t xml:space="preserve"> of the access and participation plan for more information.</w:t>
      </w:r>
    </w:p>
    <w:p w14:paraId="1A848C9A" w14:textId="4884701B" w:rsidR="00E85B8C" w:rsidRDefault="00E85B8C" w:rsidP="266661F1">
      <w:pPr>
        <w:pStyle w:val="Heading4"/>
        <w:rPr>
          <w:b/>
          <w:bCs/>
        </w:rPr>
      </w:pPr>
      <w:r w:rsidRPr="266661F1">
        <w:rPr>
          <w:b/>
          <w:bCs/>
        </w:rPr>
        <w:t xml:space="preserve">Contact details for further information </w:t>
      </w:r>
    </w:p>
    <w:p w14:paraId="724C2027" w14:textId="0F3A4FED" w:rsidR="00AA7866" w:rsidRPr="0050521B" w:rsidRDefault="00E85B8C" w:rsidP="00DA77A0">
      <w:r>
        <w:t xml:space="preserve">Please contact </w:t>
      </w:r>
      <w:r w:rsidR="00CE3061">
        <w:t>Jenni Woods,</w:t>
      </w:r>
      <w:r w:rsidR="00E56101">
        <w:t xml:space="preserve"> Director</w:t>
      </w:r>
      <w:r w:rsidR="6AC0AA5A">
        <w:t xml:space="preserve"> of Student Services</w:t>
      </w:r>
      <w:r w:rsidR="00E56101">
        <w:t>,</w:t>
      </w:r>
      <w:r w:rsidR="2F0B091B">
        <w:t xml:space="preserve"> for more information:</w:t>
      </w:r>
      <w:r w:rsidR="00E56101">
        <w:t xml:space="preserve"> </w:t>
      </w:r>
      <w:hyperlink r:id="rId18">
        <w:r w:rsidR="009E5B1D" w:rsidRPr="266661F1">
          <w:rPr>
            <w:rStyle w:val="Hyperlink"/>
          </w:rPr>
          <w:t>j.woods@kingston.ac.uk</w:t>
        </w:r>
      </w:hyperlink>
    </w:p>
    <w:sectPr w:rsidR="00AA7866" w:rsidRPr="0050521B" w:rsidSect="007906A2">
      <w:footerReference w:type="default" r:id="rId19"/>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8F2D6" w14:textId="77777777" w:rsidR="00CA4A0C" w:rsidRDefault="00CA4A0C" w:rsidP="007906A2">
      <w:pPr>
        <w:spacing w:after="0" w:line="240" w:lineRule="auto"/>
      </w:pPr>
      <w:r>
        <w:separator/>
      </w:r>
    </w:p>
  </w:endnote>
  <w:endnote w:type="continuationSeparator" w:id="0">
    <w:p w14:paraId="38B6D36B" w14:textId="77777777" w:rsidR="00CA4A0C" w:rsidRDefault="00CA4A0C" w:rsidP="007906A2">
      <w:pPr>
        <w:spacing w:after="0" w:line="240" w:lineRule="auto"/>
      </w:pPr>
      <w:r>
        <w:continuationSeparator/>
      </w:r>
    </w:p>
  </w:endnote>
  <w:endnote w:type="continuationNotice" w:id="1">
    <w:p w14:paraId="2CCCB98F" w14:textId="77777777" w:rsidR="00CA4A0C" w:rsidRDefault="00CA4A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08E9E" w14:textId="77777777" w:rsidR="000D5586" w:rsidRPr="000D5586" w:rsidRDefault="000D5586" w:rsidP="000D5586">
    <w:pPr>
      <w:pStyle w:val="Footer"/>
    </w:pPr>
    <w:r w:rsidRPr="000D5586">
      <w:rPr>
        <w:color w:val="2B579A"/>
        <w:shd w:val="clear" w:color="auto" w:fill="E6E6E6"/>
      </w:rPr>
      <w:fldChar w:fldCharType="begin"/>
    </w:r>
    <w:r w:rsidRPr="000D5586">
      <w:instrText xml:space="preserve"> PAGE   \* MERGEFORMAT </w:instrText>
    </w:r>
    <w:r w:rsidRPr="000D5586">
      <w:rPr>
        <w:color w:val="2B579A"/>
        <w:shd w:val="clear" w:color="auto" w:fill="E6E6E6"/>
      </w:rPr>
      <w:fldChar w:fldCharType="separate"/>
    </w:r>
    <w:r w:rsidR="00697283">
      <w:rPr>
        <w:noProof/>
      </w:rPr>
      <w:t>1</w:t>
    </w:r>
    <w:r w:rsidRPr="000D5586">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3F457" w14:textId="77777777" w:rsidR="00CA4A0C" w:rsidRDefault="00CA4A0C" w:rsidP="007906A2">
      <w:pPr>
        <w:spacing w:after="0" w:line="240" w:lineRule="auto"/>
      </w:pPr>
      <w:r>
        <w:separator/>
      </w:r>
    </w:p>
  </w:footnote>
  <w:footnote w:type="continuationSeparator" w:id="0">
    <w:p w14:paraId="7D157BDB" w14:textId="77777777" w:rsidR="00CA4A0C" w:rsidRDefault="00CA4A0C" w:rsidP="007906A2">
      <w:pPr>
        <w:spacing w:after="0" w:line="240" w:lineRule="auto"/>
      </w:pPr>
      <w:r>
        <w:continuationSeparator/>
      </w:r>
    </w:p>
  </w:footnote>
  <w:footnote w:type="continuationNotice" w:id="1">
    <w:p w14:paraId="1E6BFB85" w14:textId="77777777" w:rsidR="00CA4A0C" w:rsidRDefault="00CA4A0C">
      <w:pPr>
        <w:spacing w:after="0" w:line="240" w:lineRule="auto"/>
      </w:pPr>
    </w:p>
  </w:footnote>
  <w:footnote w:id="2">
    <w:p w14:paraId="581C9356" w14:textId="77777777" w:rsidR="00795F0E" w:rsidRDefault="00795F0E" w:rsidP="00795F0E">
      <w:pPr>
        <w:pStyle w:val="FootnoteText"/>
      </w:pPr>
      <w:r>
        <w:rPr>
          <w:rStyle w:val="FootnoteReference"/>
        </w:rPr>
        <w:footnoteRef/>
      </w:r>
      <w:r w:rsidR="2A0AEA36">
        <w:t xml:space="preserve"> ABCS is a national measure of likelihood to succeed based on a number of student characteristics, including ethnicity, sex and background. Nationally, students in Q1 are least likely to continue, and those in Q5 most likely. For more information, see the Office for Students’ </w:t>
      </w:r>
      <w:hyperlink r:id="rId1" w:history="1">
        <w:r w:rsidR="2A0AEA36" w:rsidRPr="001B039F">
          <w:rPr>
            <w:rStyle w:val="Hyperlink"/>
          </w:rPr>
          <w:t>website</w:t>
        </w:r>
      </w:hyperlink>
      <w:r w:rsidR="2A0AEA3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A784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A08C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62C3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3EA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280F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A9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C4C0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AAF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18F1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64BA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3D00168"/>
    <w:multiLevelType w:val="hybridMultilevel"/>
    <w:tmpl w:val="4F587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7320D5"/>
    <w:multiLevelType w:val="hybridMultilevel"/>
    <w:tmpl w:val="6B32C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2EE42C95"/>
    <w:multiLevelType w:val="hybridMultilevel"/>
    <w:tmpl w:val="B108225C"/>
    <w:lvl w:ilvl="0" w:tplc="ADD42B5E">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745D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40166ED"/>
    <w:multiLevelType w:val="hybridMultilevel"/>
    <w:tmpl w:val="68587E2C"/>
    <w:lvl w:ilvl="0" w:tplc="905A6058">
      <w:start w:val="1"/>
      <w:numFmt w:val="decimal"/>
      <w:pStyle w:val="Numberedtext1"/>
      <w:lvlText w:val="%1."/>
      <w:lvlJc w:val="left"/>
      <w:pPr>
        <w:ind w:left="720" w:hanging="360"/>
      </w:pPr>
    </w:lvl>
    <w:lvl w:ilvl="1" w:tplc="F6942CAC">
      <w:start w:val="1"/>
      <w:numFmt w:val="lowerLetter"/>
      <w:pStyle w:val="Numberedtex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C13262"/>
    <w:multiLevelType w:val="hybridMultilevel"/>
    <w:tmpl w:val="140207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7EA5576D"/>
    <w:multiLevelType w:val="hybridMultilevel"/>
    <w:tmpl w:val="7384F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376091">
    <w:abstractNumId w:val="9"/>
  </w:num>
  <w:num w:numId="2" w16cid:durableId="294062713">
    <w:abstractNumId w:val="7"/>
  </w:num>
  <w:num w:numId="3" w16cid:durableId="890729709">
    <w:abstractNumId w:val="6"/>
  </w:num>
  <w:num w:numId="4" w16cid:durableId="1076975252">
    <w:abstractNumId w:val="5"/>
  </w:num>
  <w:num w:numId="5" w16cid:durableId="1294286325">
    <w:abstractNumId w:val="4"/>
  </w:num>
  <w:num w:numId="6" w16cid:durableId="386344623">
    <w:abstractNumId w:val="15"/>
  </w:num>
  <w:num w:numId="7" w16cid:durableId="1797869345">
    <w:abstractNumId w:val="12"/>
  </w:num>
  <w:num w:numId="8" w16cid:durableId="105078466">
    <w:abstractNumId w:val="18"/>
  </w:num>
  <w:num w:numId="9" w16cid:durableId="387844063">
    <w:abstractNumId w:val="10"/>
  </w:num>
  <w:num w:numId="10" w16cid:durableId="1993439802">
    <w:abstractNumId w:val="8"/>
  </w:num>
  <w:num w:numId="11" w16cid:durableId="335111940">
    <w:abstractNumId w:val="3"/>
  </w:num>
  <w:num w:numId="12" w16cid:durableId="23099398">
    <w:abstractNumId w:val="2"/>
  </w:num>
  <w:num w:numId="13" w16cid:durableId="773403951">
    <w:abstractNumId w:val="1"/>
  </w:num>
  <w:num w:numId="14" w16cid:durableId="12340730">
    <w:abstractNumId w:val="0"/>
  </w:num>
  <w:num w:numId="15" w16cid:durableId="1886208777">
    <w:abstractNumId w:val="19"/>
  </w:num>
  <w:num w:numId="16" w16cid:durableId="1659381383">
    <w:abstractNumId w:val="14"/>
  </w:num>
  <w:num w:numId="17" w16cid:durableId="2126994283">
    <w:abstractNumId w:val="17"/>
  </w:num>
  <w:num w:numId="18" w16cid:durableId="551118450">
    <w:abstractNumId w:val="16"/>
  </w:num>
  <w:num w:numId="19" w16cid:durableId="1549562090">
    <w:abstractNumId w:val="11"/>
  </w:num>
  <w:num w:numId="20" w16cid:durableId="1469279485">
    <w:abstractNumId w:val="21"/>
  </w:num>
  <w:num w:numId="21" w16cid:durableId="1330258338">
    <w:abstractNumId w:val="20"/>
  </w:num>
  <w:num w:numId="22" w16cid:durableId="20199655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UzNzQzNDQzMDQ3MjFV0lEKTi0uzszPAykwqwUA18DcXiwAAAA="/>
  </w:docVars>
  <w:rsids>
    <w:rsidRoot w:val="00E85B8C"/>
    <w:rsid w:val="00014D71"/>
    <w:rsid w:val="00016E21"/>
    <w:rsid w:val="000275E2"/>
    <w:rsid w:val="000304EF"/>
    <w:rsid w:val="000319BF"/>
    <w:rsid w:val="00037C45"/>
    <w:rsid w:val="00045242"/>
    <w:rsid w:val="00052126"/>
    <w:rsid w:val="00052361"/>
    <w:rsid w:val="00052799"/>
    <w:rsid w:val="000623D6"/>
    <w:rsid w:val="0007321F"/>
    <w:rsid w:val="00083718"/>
    <w:rsid w:val="0009282F"/>
    <w:rsid w:val="000941D8"/>
    <w:rsid w:val="000A0321"/>
    <w:rsid w:val="000A709E"/>
    <w:rsid w:val="000A7BAF"/>
    <w:rsid w:val="000B0727"/>
    <w:rsid w:val="000B0DE0"/>
    <w:rsid w:val="000B1C84"/>
    <w:rsid w:val="000B7BF5"/>
    <w:rsid w:val="000C063B"/>
    <w:rsid w:val="000C4E0C"/>
    <w:rsid w:val="000C5774"/>
    <w:rsid w:val="000D0ACA"/>
    <w:rsid w:val="000D31A5"/>
    <w:rsid w:val="000D5586"/>
    <w:rsid w:val="000D7041"/>
    <w:rsid w:val="000E46A8"/>
    <w:rsid w:val="000E667B"/>
    <w:rsid w:val="000E6E8F"/>
    <w:rsid w:val="000F4C70"/>
    <w:rsid w:val="00100B80"/>
    <w:rsid w:val="00107530"/>
    <w:rsid w:val="00112197"/>
    <w:rsid w:val="00121BE6"/>
    <w:rsid w:val="00132709"/>
    <w:rsid w:val="0014176E"/>
    <w:rsid w:val="00177935"/>
    <w:rsid w:val="001831FD"/>
    <w:rsid w:val="00183392"/>
    <w:rsid w:val="001976B9"/>
    <w:rsid w:val="001A1FE4"/>
    <w:rsid w:val="001A42D0"/>
    <w:rsid w:val="001A4A32"/>
    <w:rsid w:val="001B039F"/>
    <w:rsid w:val="001C792E"/>
    <w:rsid w:val="001D576A"/>
    <w:rsid w:val="001E7E57"/>
    <w:rsid w:val="001F5297"/>
    <w:rsid w:val="001F5CAA"/>
    <w:rsid w:val="00207565"/>
    <w:rsid w:val="00222C98"/>
    <w:rsid w:val="00223769"/>
    <w:rsid w:val="002266BE"/>
    <w:rsid w:val="00227A5E"/>
    <w:rsid w:val="00230F2C"/>
    <w:rsid w:val="002358C3"/>
    <w:rsid w:val="0024184F"/>
    <w:rsid w:val="002505FD"/>
    <w:rsid w:val="00251F2C"/>
    <w:rsid w:val="00265D3C"/>
    <w:rsid w:val="0027018D"/>
    <w:rsid w:val="002726BE"/>
    <w:rsid w:val="00276473"/>
    <w:rsid w:val="00282F27"/>
    <w:rsid w:val="00283ADA"/>
    <w:rsid w:val="0028644A"/>
    <w:rsid w:val="002866DA"/>
    <w:rsid w:val="002A4C61"/>
    <w:rsid w:val="002C3208"/>
    <w:rsid w:val="002D341E"/>
    <w:rsid w:val="002D3E8C"/>
    <w:rsid w:val="002F3988"/>
    <w:rsid w:val="00301902"/>
    <w:rsid w:val="003106C3"/>
    <w:rsid w:val="0031312C"/>
    <w:rsid w:val="0032716C"/>
    <w:rsid w:val="0033001F"/>
    <w:rsid w:val="00333048"/>
    <w:rsid w:val="00335E79"/>
    <w:rsid w:val="0034005B"/>
    <w:rsid w:val="00356F9A"/>
    <w:rsid w:val="003614E7"/>
    <w:rsid w:val="00365923"/>
    <w:rsid w:val="00371786"/>
    <w:rsid w:val="0037317C"/>
    <w:rsid w:val="00383FA9"/>
    <w:rsid w:val="00386850"/>
    <w:rsid w:val="00387013"/>
    <w:rsid w:val="00390ECD"/>
    <w:rsid w:val="00390F6B"/>
    <w:rsid w:val="0039151D"/>
    <w:rsid w:val="00392C20"/>
    <w:rsid w:val="003A11C8"/>
    <w:rsid w:val="003B0546"/>
    <w:rsid w:val="003B12CF"/>
    <w:rsid w:val="003C3853"/>
    <w:rsid w:val="003C5D0D"/>
    <w:rsid w:val="003D1E20"/>
    <w:rsid w:val="003D30E2"/>
    <w:rsid w:val="003D568D"/>
    <w:rsid w:val="003E0C48"/>
    <w:rsid w:val="003E365B"/>
    <w:rsid w:val="003E4A51"/>
    <w:rsid w:val="003F4B3F"/>
    <w:rsid w:val="0040024E"/>
    <w:rsid w:val="00403183"/>
    <w:rsid w:val="00412526"/>
    <w:rsid w:val="0041471E"/>
    <w:rsid w:val="0044150A"/>
    <w:rsid w:val="00445CD4"/>
    <w:rsid w:val="0044784F"/>
    <w:rsid w:val="00450422"/>
    <w:rsid w:val="0045414F"/>
    <w:rsid w:val="00454930"/>
    <w:rsid w:val="00466E1B"/>
    <w:rsid w:val="00473BCB"/>
    <w:rsid w:val="0047761C"/>
    <w:rsid w:val="00487771"/>
    <w:rsid w:val="00491D8A"/>
    <w:rsid w:val="0049352E"/>
    <w:rsid w:val="004A5D06"/>
    <w:rsid w:val="004B046F"/>
    <w:rsid w:val="004B319A"/>
    <w:rsid w:val="004B4B31"/>
    <w:rsid w:val="004C31D6"/>
    <w:rsid w:val="004E795B"/>
    <w:rsid w:val="004F175B"/>
    <w:rsid w:val="005023CF"/>
    <w:rsid w:val="0050521B"/>
    <w:rsid w:val="00511695"/>
    <w:rsid w:val="00512FA6"/>
    <w:rsid w:val="005148EF"/>
    <w:rsid w:val="00517ABA"/>
    <w:rsid w:val="00523533"/>
    <w:rsid w:val="00525266"/>
    <w:rsid w:val="00526B27"/>
    <w:rsid w:val="005369F2"/>
    <w:rsid w:val="00546C0B"/>
    <w:rsid w:val="00554204"/>
    <w:rsid w:val="00560B3F"/>
    <w:rsid w:val="00566D96"/>
    <w:rsid w:val="00567B4E"/>
    <w:rsid w:val="005757D3"/>
    <w:rsid w:val="00576294"/>
    <w:rsid w:val="0057792B"/>
    <w:rsid w:val="00577C44"/>
    <w:rsid w:val="00583822"/>
    <w:rsid w:val="00594920"/>
    <w:rsid w:val="00597785"/>
    <w:rsid w:val="005A11A8"/>
    <w:rsid w:val="005A7D70"/>
    <w:rsid w:val="005B34E7"/>
    <w:rsid w:val="005B6FC1"/>
    <w:rsid w:val="005C23B6"/>
    <w:rsid w:val="005D4AD6"/>
    <w:rsid w:val="005D5529"/>
    <w:rsid w:val="005E57D0"/>
    <w:rsid w:val="005F17E7"/>
    <w:rsid w:val="005F2C48"/>
    <w:rsid w:val="005F3931"/>
    <w:rsid w:val="005F500B"/>
    <w:rsid w:val="00600763"/>
    <w:rsid w:val="00611DC4"/>
    <w:rsid w:val="00612918"/>
    <w:rsid w:val="006141A1"/>
    <w:rsid w:val="0062202D"/>
    <w:rsid w:val="00622D7D"/>
    <w:rsid w:val="006311AE"/>
    <w:rsid w:val="006356DC"/>
    <w:rsid w:val="00653FF0"/>
    <w:rsid w:val="006600B9"/>
    <w:rsid w:val="006601DE"/>
    <w:rsid w:val="00661AA7"/>
    <w:rsid w:val="006734B0"/>
    <w:rsid w:val="00683C98"/>
    <w:rsid w:val="006873B2"/>
    <w:rsid w:val="00687A2C"/>
    <w:rsid w:val="00697283"/>
    <w:rsid w:val="006B15C6"/>
    <w:rsid w:val="006E1EB1"/>
    <w:rsid w:val="006E632D"/>
    <w:rsid w:val="006F1D87"/>
    <w:rsid w:val="00711BC5"/>
    <w:rsid w:val="0072049E"/>
    <w:rsid w:val="00724FF0"/>
    <w:rsid w:val="00734E48"/>
    <w:rsid w:val="00736404"/>
    <w:rsid w:val="0075625F"/>
    <w:rsid w:val="00773BBC"/>
    <w:rsid w:val="0077530F"/>
    <w:rsid w:val="007833EC"/>
    <w:rsid w:val="007906A2"/>
    <w:rsid w:val="00795F0E"/>
    <w:rsid w:val="007A1F48"/>
    <w:rsid w:val="007A5B56"/>
    <w:rsid w:val="007B0324"/>
    <w:rsid w:val="007C0229"/>
    <w:rsid w:val="007C4348"/>
    <w:rsid w:val="007C689D"/>
    <w:rsid w:val="007D41C3"/>
    <w:rsid w:val="007D6934"/>
    <w:rsid w:val="007F6355"/>
    <w:rsid w:val="008020A8"/>
    <w:rsid w:val="008037E8"/>
    <w:rsid w:val="008069CF"/>
    <w:rsid w:val="008258BD"/>
    <w:rsid w:val="008362CF"/>
    <w:rsid w:val="00842A8B"/>
    <w:rsid w:val="008447DE"/>
    <w:rsid w:val="008456CF"/>
    <w:rsid w:val="008515ED"/>
    <w:rsid w:val="00882903"/>
    <w:rsid w:val="008A132B"/>
    <w:rsid w:val="008A311E"/>
    <w:rsid w:val="008B321A"/>
    <w:rsid w:val="008D7D4B"/>
    <w:rsid w:val="008E09EF"/>
    <w:rsid w:val="008E3341"/>
    <w:rsid w:val="008E5BD6"/>
    <w:rsid w:val="008F0C9B"/>
    <w:rsid w:val="008F2171"/>
    <w:rsid w:val="008F2A5E"/>
    <w:rsid w:val="00902807"/>
    <w:rsid w:val="009040D0"/>
    <w:rsid w:val="009058EA"/>
    <w:rsid w:val="00907A59"/>
    <w:rsid w:val="00921A19"/>
    <w:rsid w:val="00927C47"/>
    <w:rsid w:val="009303E3"/>
    <w:rsid w:val="0093047E"/>
    <w:rsid w:val="00931360"/>
    <w:rsid w:val="00934A0A"/>
    <w:rsid w:val="00936776"/>
    <w:rsid w:val="0093701A"/>
    <w:rsid w:val="00947CBB"/>
    <w:rsid w:val="0096651A"/>
    <w:rsid w:val="00966B05"/>
    <w:rsid w:val="0096772B"/>
    <w:rsid w:val="00971A27"/>
    <w:rsid w:val="00972EED"/>
    <w:rsid w:val="009767A5"/>
    <w:rsid w:val="009827EF"/>
    <w:rsid w:val="00990ED0"/>
    <w:rsid w:val="00996E4B"/>
    <w:rsid w:val="00997A2C"/>
    <w:rsid w:val="009B06F6"/>
    <w:rsid w:val="009C4491"/>
    <w:rsid w:val="009C74E1"/>
    <w:rsid w:val="009C75FC"/>
    <w:rsid w:val="009E07AA"/>
    <w:rsid w:val="009E5863"/>
    <w:rsid w:val="009E5B1D"/>
    <w:rsid w:val="009F08E1"/>
    <w:rsid w:val="009F2BA8"/>
    <w:rsid w:val="009F5FDB"/>
    <w:rsid w:val="00A00E62"/>
    <w:rsid w:val="00A01E36"/>
    <w:rsid w:val="00A1054F"/>
    <w:rsid w:val="00A33AE6"/>
    <w:rsid w:val="00A374E9"/>
    <w:rsid w:val="00A475D4"/>
    <w:rsid w:val="00A477C7"/>
    <w:rsid w:val="00A5313C"/>
    <w:rsid w:val="00A56797"/>
    <w:rsid w:val="00A6294D"/>
    <w:rsid w:val="00A70BE1"/>
    <w:rsid w:val="00A70D43"/>
    <w:rsid w:val="00A8790F"/>
    <w:rsid w:val="00A91173"/>
    <w:rsid w:val="00A96715"/>
    <w:rsid w:val="00AA1F0C"/>
    <w:rsid w:val="00AA2061"/>
    <w:rsid w:val="00AA2514"/>
    <w:rsid w:val="00AA7866"/>
    <w:rsid w:val="00AC5BBA"/>
    <w:rsid w:val="00AD0625"/>
    <w:rsid w:val="00AD666B"/>
    <w:rsid w:val="00AF0EF0"/>
    <w:rsid w:val="00AF2502"/>
    <w:rsid w:val="00AF619C"/>
    <w:rsid w:val="00AF66B2"/>
    <w:rsid w:val="00B00DA0"/>
    <w:rsid w:val="00B01727"/>
    <w:rsid w:val="00B06E53"/>
    <w:rsid w:val="00B22E63"/>
    <w:rsid w:val="00B335C1"/>
    <w:rsid w:val="00B35DE7"/>
    <w:rsid w:val="00B379E9"/>
    <w:rsid w:val="00B4346F"/>
    <w:rsid w:val="00B449DB"/>
    <w:rsid w:val="00B5393C"/>
    <w:rsid w:val="00B578C0"/>
    <w:rsid w:val="00B67150"/>
    <w:rsid w:val="00B6A45B"/>
    <w:rsid w:val="00B7122B"/>
    <w:rsid w:val="00B83690"/>
    <w:rsid w:val="00B90E90"/>
    <w:rsid w:val="00B9569A"/>
    <w:rsid w:val="00B97AB9"/>
    <w:rsid w:val="00BA1D44"/>
    <w:rsid w:val="00BB3780"/>
    <w:rsid w:val="00BB6764"/>
    <w:rsid w:val="00BC39A1"/>
    <w:rsid w:val="00BD16D7"/>
    <w:rsid w:val="00BD7B1D"/>
    <w:rsid w:val="00C00368"/>
    <w:rsid w:val="00C03CE7"/>
    <w:rsid w:val="00C06D39"/>
    <w:rsid w:val="00C12139"/>
    <w:rsid w:val="00C139E6"/>
    <w:rsid w:val="00C14554"/>
    <w:rsid w:val="00C201FE"/>
    <w:rsid w:val="00C307A3"/>
    <w:rsid w:val="00C30B13"/>
    <w:rsid w:val="00C417B3"/>
    <w:rsid w:val="00C41B78"/>
    <w:rsid w:val="00C45446"/>
    <w:rsid w:val="00C523E6"/>
    <w:rsid w:val="00C55F3D"/>
    <w:rsid w:val="00C609C0"/>
    <w:rsid w:val="00C61750"/>
    <w:rsid w:val="00C635D4"/>
    <w:rsid w:val="00C63A86"/>
    <w:rsid w:val="00C67201"/>
    <w:rsid w:val="00C762D7"/>
    <w:rsid w:val="00C90467"/>
    <w:rsid w:val="00C93BB3"/>
    <w:rsid w:val="00CA0D4B"/>
    <w:rsid w:val="00CA4A0C"/>
    <w:rsid w:val="00CB4B51"/>
    <w:rsid w:val="00CB757F"/>
    <w:rsid w:val="00CD052B"/>
    <w:rsid w:val="00CE11D5"/>
    <w:rsid w:val="00CE3061"/>
    <w:rsid w:val="00CE6DCF"/>
    <w:rsid w:val="00CF6F84"/>
    <w:rsid w:val="00D06B9A"/>
    <w:rsid w:val="00D13D53"/>
    <w:rsid w:val="00D1631B"/>
    <w:rsid w:val="00D2459D"/>
    <w:rsid w:val="00D34289"/>
    <w:rsid w:val="00D34758"/>
    <w:rsid w:val="00D51B8C"/>
    <w:rsid w:val="00D710FD"/>
    <w:rsid w:val="00D81B6C"/>
    <w:rsid w:val="00D900E5"/>
    <w:rsid w:val="00D94D45"/>
    <w:rsid w:val="00DA07F6"/>
    <w:rsid w:val="00DA497B"/>
    <w:rsid w:val="00DA77A0"/>
    <w:rsid w:val="00DA78A9"/>
    <w:rsid w:val="00DB1B5E"/>
    <w:rsid w:val="00DB34C7"/>
    <w:rsid w:val="00DB41F5"/>
    <w:rsid w:val="00DD6783"/>
    <w:rsid w:val="00DD684E"/>
    <w:rsid w:val="00DE0A10"/>
    <w:rsid w:val="00DE2E26"/>
    <w:rsid w:val="00DE4BC9"/>
    <w:rsid w:val="00DF1B00"/>
    <w:rsid w:val="00DF26EE"/>
    <w:rsid w:val="00DF34EA"/>
    <w:rsid w:val="00E07228"/>
    <w:rsid w:val="00E13D1C"/>
    <w:rsid w:val="00E17EF0"/>
    <w:rsid w:val="00E215F4"/>
    <w:rsid w:val="00E30820"/>
    <w:rsid w:val="00E30B55"/>
    <w:rsid w:val="00E412E1"/>
    <w:rsid w:val="00E44EEE"/>
    <w:rsid w:val="00E46566"/>
    <w:rsid w:val="00E52213"/>
    <w:rsid w:val="00E56101"/>
    <w:rsid w:val="00E620B6"/>
    <w:rsid w:val="00E64054"/>
    <w:rsid w:val="00E85B8C"/>
    <w:rsid w:val="00E91295"/>
    <w:rsid w:val="00E9506F"/>
    <w:rsid w:val="00E976DD"/>
    <w:rsid w:val="00E97938"/>
    <w:rsid w:val="00E97D82"/>
    <w:rsid w:val="00EB29F8"/>
    <w:rsid w:val="00ED1460"/>
    <w:rsid w:val="00ED59C3"/>
    <w:rsid w:val="00ED6F1E"/>
    <w:rsid w:val="00EE7CC6"/>
    <w:rsid w:val="00EF5E47"/>
    <w:rsid w:val="00F1549F"/>
    <w:rsid w:val="00F25F73"/>
    <w:rsid w:val="00F265C2"/>
    <w:rsid w:val="00F51577"/>
    <w:rsid w:val="00F549D1"/>
    <w:rsid w:val="00F64624"/>
    <w:rsid w:val="00F65126"/>
    <w:rsid w:val="00F65D97"/>
    <w:rsid w:val="00F66962"/>
    <w:rsid w:val="00F81282"/>
    <w:rsid w:val="00F83F07"/>
    <w:rsid w:val="00F84DD8"/>
    <w:rsid w:val="00F86980"/>
    <w:rsid w:val="00F87317"/>
    <w:rsid w:val="00F9140C"/>
    <w:rsid w:val="00F92703"/>
    <w:rsid w:val="00F93119"/>
    <w:rsid w:val="00FB4FD3"/>
    <w:rsid w:val="00FB5896"/>
    <w:rsid w:val="00FC4586"/>
    <w:rsid w:val="00FC7938"/>
    <w:rsid w:val="00FD0CF2"/>
    <w:rsid w:val="00FD5A8F"/>
    <w:rsid w:val="00FD6320"/>
    <w:rsid w:val="00FF545F"/>
    <w:rsid w:val="014CBE57"/>
    <w:rsid w:val="017590FA"/>
    <w:rsid w:val="01CC2215"/>
    <w:rsid w:val="01E33DE9"/>
    <w:rsid w:val="01F87885"/>
    <w:rsid w:val="02056957"/>
    <w:rsid w:val="0214810E"/>
    <w:rsid w:val="0260674F"/>
    <w:rsid w:val="0285275F"/>
    <w:rsid w:val="0295DDC4"/>
    <w:rsid w:val="02B3E7A8"/>
    <w:rsid w:val="02C19946"/>
    <w:rsid w:val="02E003ED"/>
    <w:rsid w:val="02F06415"/>
    <w:rsid w:val="0302FB80"/>
    <w:rsid w:val="031915C3"/>
    <w:rsid w:val="038CFD3A"/>
    <w:rsid w:val="03994C32"/>
    <w:rsid w:val="044635BE"/>
    <w:rsid w:val="0454BDA3"/>
    <w:rsid w:val="046CBB0E"/>
    <w:rsid w:val="0473AA5A"/>
    <w:rsid w:val="047BD44E"/>
    <w:rsid w:val="04FEB4BE"/>
    <w:rsid w:val="053D0A19"/>
    <w:rsid w:val="0569666B"/>
    <w:rsid w:val="057F3E15"/>
    <w:rsid w:val="0610C816"/>
    <w:rsid w:val="06528046"/>
    <w:rsid w:val="069A851F"/>
    <w:rsid w:val="06F6EB4D"/>
    <w:rsid w:val="06FC50C3"/>
    <w:rsid w:val="071E8F99"/>
    <w:rsid w:val="076E9D0B"/>
    <w:rsid w:val="07D83327"/>
    <w:rsid w:val="0810330B"/>
    <w:rsid w:val="082C1D53"/>
    <w:rsid w:val="08365580"/>
    <w:rsid w:val="0856B09D"/>
    <w:rsid w:val="087EF8C7"/>
    <w:rsid w:val="08B125D3"/>
    <w:rsid w:val="08ED57DC"/>
    <w:rsid w:val="08EF0078"/>
    <w:rsid w:val="08F1F06E"/>
    <w:rsid w:val="0A088DB6"/>
    <w:rsid w:val="0A60552E"/>
    <w:rsid w:val="0A84C628"/>
    <w:rsid w:val="0A8A10E2"/>
    <w:rsid w:val="0ACF7FC3"/>
    <w:rsid w:val="0AEB15D2"/>
    <w:rsid w:val="0C775E7A"/>
    <w:rsid w:val="0C7A8CD9"/>
    <w:rsid w:val="0C8C3DF1"/>
    <w:rsid w:val="0D51694F"/>
    <w:rsid w:val="0D5956D5"/>
    <w:rsid w:val="0D5A1D2E"/>
    <w:rsid w:val="0D5C728C"/>
    <w:rsid w:val="0DE21049"/>
    <w:rsid w:val="0E382AD5"/>
    <w:rsid w:val="0E9F9780"/>
    <w:rsid w:val="0ED0AFC0"/>
    <w:rsid w:val="0EEE3A4B"/>
    <w:rsid w:val="0F167987"/>
    <w:rsid w:val="0F2D9417"/>
    <w:rsid w:val="10416765"/>
    <w:rsid w:val="11349396"/>
    <w:rsid w:val="11941117"/>
    <w:rsid w:val="11AC0F2F"/>
    <w:rsid w:val="121361AC"/>
    <w:rsid w:val="12249EC4"/>
    <w:rsid w:val="1289A0DB"/>
    <w:rsid w:val="12AAC3AB"/>
    <w:rsid w:val="132DC92D"/>
    <w:rsid w:val="13657C36"/>
    <w:rsid w:val="138F3A6F"/>
    <w:rsid w:val="13CF5C2F"/>
    <w:rsid w:val="13E32739"/>
    <w:rsid w:val="141A8F17"/>
    <w:rsid w:val="14904A06"/>
    <w:rsid w:val="1491F818"/>
    <w:rsid w:val="14B5D8FE"/>
    <w:rsid w:val="14D25062"/>
    <w:rsid w:val="155D7BCF"/>
    <w:rsid w:val="162B0529"/>
    <w:rsid w:val="16A012B8"/>
    <w:rsid w:val="16F94C30"/>
    <w:rsid w:val="16FA7085"/>
    <w:rsid w:val="16FD45F1"/>
    <w:rsid w:val="173B0C75"/>
    <w:rsid w:val="1754F6D6"/>
    <w:rsid w:val="17715825"/>
    <w:rsid w:val="17ED0F23"/>
    <w:rsid w:val="1831939D"/>
    <w:rsid w:val="185E0421"/>
    <w:rsid w:val="1868211C"/>
    <w:rsid w:val="1898C80D"/>
    <w:rsid w:val="18FAC86C"/>
    <w:rsid w:val="19384E19"/>
    <w:rsid w:val="196B8F90"/>
    <w:rsid w:val="1987DEE9"/>
    <w:rsid w:val="19E0FB9C"/>
    <w:rsid w:val="19EA9C54"/>
    <w:rsid w:val="1A0B2C73"/>
    <w:rsid w:val="1A224438"/>
    <w:rsid w:val="1A297496"/>
    <w:rsid w:val="1A38DA78"/>
    <w:rsid w:val="1B27844A"/>
    <w:rsid w:val="1BA572AE"/>
    <w:rsid w:val="1BBA81E1"/>
    <w:rsid w:val="1BC17468"/>
    <w:rsid w:val="1BC274FE"/>
    <w:rsid w:val="1BD3AA3E"/>
    <w:rsid w:val="1BFE49E0"/>
    <w:rsid w:val="1C1A36DF"/>
    <w:rsid w:val="1D093E12"/>
    <w:rsid w:val="1D329930"/>
    <w:rsid w:val="1D565242"/>
    <w:rsid w:val="1D890C33"/>
    <w:rsid w:val="1DFD58D4"/>
    <w:rsid w:val="1E191ADF"/>
    <w:rsid w:val="1E5CA279"/>
    <w:rsid w:val="1E6AF8FA"/>
    <w:rsid w:val="1E6EDC10"/>
    <w:rsid w:val="1E701A34"/>
    <w:rsid w:val="1E88B450"/>
    <w:rsid w:val="1EADFC25"/>
    <w:rsid w:val="1EF907F1"/>
    <w:rsid w:val="1EF9152A"/>
    <w:rsid w:val="1F87C5F3"/>
    <w:rsid w:val="1FBCDEB9"/>
    <w:rsid w:val="1FC98873"/>
    <w:rsid w:val="200BD8D8"/>
    <w:rsid w:val="2062BABF"/>
    <w:rsid w:val="2094E58B"/>
    <w:rsid w:val="20EDA802"/>
    <w:rsid w:val="21032422"/>
    <w:rsid w:val="21265F53"/>
    <w:rsid w:val="21352C06"/>
    <w:rsid w:val="214103B7"/>
    <w:rsid w:val="216431C2"/>
    <w:rsid w:val="21707B20"/>
    <w:rsid w:val="21D749FB"/>
    <w:rsid w:val="2243EC5D"/>
    <w:rsid w:val="22DCD418"/>
    <w:rsid w:val="22E00C2F"/>
    <w:rsid w:val="23799473"/>
    <w:rsid w:val="23CD814C"/>
    <w:rsid w:val="24000E74"/>
    <w:rsid w:val="24081FE0"/>
    <w:rsid w:val="2437FDFF"/>
    <w:rsid w:val="247E18E8"/>
    <w:rsid w:val="24B269CE"/>
    <w:rsid w:val="253931E5"/>
    <w:rsid w:val="254E314B"/>
    <w:rsid w:val="2565F4D5"/>
    <w:rsid w:val="25AD8E18"/>
    <w:rsid w:val="25B15E5B"/>
    <w:rsid w:val="25BD7A6A"/>
    <w:rsid w:val="25C42A53"/>
    <w:rsid w:val="25F0DA24"/>
    <w:rsid w:val="266661F1"/>
    <w:rsid w:val="2669ED40"/>
    <w:rsid w:val="26AC2BA0"/>
    <w:rsid w:val="26B72D45"/>
    <w:rsid w:val="271E86D9"/>
    <w:rsid w:val="2726745F"/>
    <w:rsid w:val="2733CA4E"/>
    <w:rsid w:val="2774DF57"/>
    <w:rsid w:val="27CC2324"/>
    <w:rsid w:val="282770F3"/>
    <w:rsid w:val="28539E35"/>
    <w:rsid w:val="2869E13B"/>
    <w:rsid w:val="2898D3E5"/>
    <w:rsid w:val="28D9AABA"/>
    <w:rsid w:val="28DCB1E7"/>
    <w:rsid w:val="2969FC12"/>
    <w:rsid w:val="2985DAF1"/>
    <w:rsid w:val="29A6694C"/>
    <w:rsid w:val="2A0AEA36"/>
    <w:rsid w:val="2B175D66"/>
    <w:rsid w:val="2B6D3C60"/>
    <w:rsid w:val="2B836822"/>
    <w:rsid w:val="2BDD7F46"/>
    <w:rsid w:val="2BEE9CB3"/>
    <w:rsid w:val="2BF9E582"/>
    <w:rsid w:val="2C837380"/>
    <w:rsid w:val="2CEB1855"/>
    <w:rsid w:val="2D5F0EB4"/>
    <w:rsid w:val="2D8D051E"/>
    <w:rsid w:val="2D9AE4E9"/>
    <w:rsid w:val="2DF42DBD"/>
    <w:rsid w:val="2E189653"/>
    <w:rsid w:val="2E6FBF34"/>
    <w:rsid w:val="2EB1D6B8"/>
    <w:rsid w:val="2EE0F654"/>
    <w:rsid w:val="2EE1C992"/>
    <w:rsid w:val="2EE7FF10"/>
    <w:rsid w:val="2F0272D2"/>
    <w:rsid w:val="2F0B091B"/>
    <w:rsid w:val="2F9062C5"/>
    <w:rsid w:val="2FEB6769"/>
    <w:rsid w:val="3005B591"/>
    <w:rsid w:val="300A35D7"/>
    <w:rsid w:val="303258B8"/>
    <w:rsid w:val="30429601"/>
    <w:rsid w:val="305D812A"/>
    <w:rsid w:val="30BE3D65"/>
    <w:rsid w:val="30FE3985"/>
    <w:rsid w:val="311D0FF0"/>
    <w:rsid w:val="31297F02"/>
    <w:rsid w:val="31715CE6"/>
    <w:rsid w:val="31EB420C"/>
    <w:rsid w:val="31ED9EF4"/>
    <w:rsid w:val="31F97450"/>
    <w:rsid w:val="3256A212"/>
    <w:rsid w:val="3299726E"/>
    <w:rsid w:val="32B2D59A"/>
    <w:rsid w:val="33533664"/>
    <w:rsid w:val="33D7DCE3"/>
    <w:rsid w:val="33E67908"/>
    <w:rsid w:val="3404F767"/>
    <w:rsid w:val="3406DD77"/>
    <w:rsid w:val="343CFD84"/>
    <w:rsid w:val="344D618E"/>
    <w:rsid w:val="3461B562"/>
    <w:rsid w:val="348268E2"/>
    <w:rsid w:val="348D0C2F"/>
    <w:rsid w:val="34E78A76"/>
    <w:rsid w:val="352A4A68"/>
    <w:rsid w:val="357787F1"/>
    <w:rsid w:val="3578ED44"/>
    <w:rsid w:val="35940455"/>
    <w:rsid w:val="3598DA42"/>
    <w:rsid w:val="35A0C7C8"/>
    <w:rsid w:val="35C8C483"/>
    <w:rsid w:val="35D9E431"/>
    <w:rsid w:val="35ED63DF"/>
    <w:rsid w:val="365A100D"/>
    <w:rsid w:val="36C4D623"/>
    <w:rsid w:val="36F2CFC4"/>
    <w:rsid w:val="36FA8E19"/>
    <w:rsid w:val="37135852"/>
    <w:rsid w:val="373204E4"/>
    <w:rsid w:val="374DA01F"/>
    <w:rsid w:val="37668A9D"/>
    <w:rsid w:val="37995624"/>
    <w:rsid w:val="37A7FDEC"/>
    <w:rsid w:val="37BF7899"/>
    <w:rsid w:val="3873BB5D"/>
    <w:rsid w:val="388920A1"/>
    <w:rsid w:val="389F41EF"/>
    <w:rsid w:val="38B71639"/>
    <w:rsid w:val="38BFA19E"/>
    <w:rsid w:val="38C54A51"/>
    <w:rsid w:val="38C67DF5"/>
    <w:rsid w:val="38E2ABA9"/>
    <w:rsid w:val="39352685"/>
    <w:rsid w:val="395B48FA"/>
    <w:rsid w:val="3973B282"/>
    <w:rsid w:val="3991B0CF"/>
    <w:rsid w:val="39DF7F65"/>
    <w:rsid w:val="39FDBB8B"/>
    <w:rsid w:val="3A061BC3"/>
    <w:rsid w:val="3A13BDAE"/>
    <w:rsid w:val="3A5E3389"/>
    <w:rsid w:val="3ACD0436"/>
    <w:rsid w:val="3AD0F6E6"/>
    <w:rsid w:val="3AE25805"/>
    <w:rsid w:val="3B2D8130"/>
    <w:rsid w:val="3B8D8DAA"/>
    <w:rsid w:val="3B98E146"/>
    <w:rsid w:val="3C10DAF1"/>
    <w:rsid w:val="3C1A7A6F"/>
    <w:rsid w:val="3C6CC747"/>
    <w:rsid w:val="3C92E9BC"/>
    <w:rsid w:val="3CE5FB6D"/>
    <w:rsid w:val="3D087179"/>
    <w:rsid w:val="3D2CCE52"/>
    <w:rsid w:val="3D7474BE"/>
    <w:rsid w:val="3E4417A6"/>
    <w:rsid w:val="3EA2203D"/>
    <w:rsid w:val="3ED12CAE"/>
    <w:rsid w:val="3EF12F58"/>
    <w:rsid w:val="3F263802"/>
    <w:rsid w:val="3F47AA0E"/>
    <w:rsid w:val="3F504AC9"/>
    <w:rsid w:val="4000F253"/>
    <w:rsid w:val="4018D07C"/>
    <w:rsid w:val="40831A5E"/>
    <w:rsid w:val="40C4C9ED"/>
    <w:rsid w:val="40CE6A41"/>
    <w:rsid w:val="40DB8CE9"/>
    <w:rsid w:val="419FC205"/>
    <w:rsid w:val="41AEFE26"/>
    <w:rsid w:val="41B6277F"/>
    <w:rsid w:val="41BB6E9E"/>
    <w:rsid w:val="41BD1656"/>
    <w:rsid w:val="41FF77AA"/>
    <w:rsid w:val="425266A7"/>
    <w:rsid w:val="42E36806"/>
    <w:rsid w:val="4320A1BD"/>
    <w:rsid w:val="433089AF"/>
    <w:rsid w:val="434C91D1"/>
    <w:rsid w:val="43834062"/>
    <w:rsid w:val="439200B2"/>
    <w:rsid w:val="43AAAE3E"/>
    <w:rsid w:val="43C74CC1"/>
    <w:rsid w:val="43CF9F4E"/>
    <w:rsid w:val="43E1D3EF"/>
    <w:rsid w:val="4419ECB1"/>
    <w:rsid w:val="446AF523"/>
    <w:rsid w:val="4484FB7E"/>
    <w:rsid w:val="44B5AD47"/>
    <w:rsid w:val="44EC9422"/>
    <w:rsid w:val="458B82C7"/>
    <w:rsid w:val="45A585C3"/>
    <w:rsid w:val="45AF64CE"/>
    <w:rsid w:val="45D3CFA5"/>
    <w:rsid w:val="4613823C"/>
    <w:rsid w:val="4667BB1A"/>
    <w:rsid w:val="466979BD"/>
    <w:rsid w:val="467ED3DA"/>
    <w:rsid w:val="46918628"/>
    <w:rsid w:val="46D231EF"/>
    <w:rsid w:val="471974B1"/>
    <w:rsid w:val="47275328"/>
    <w:rsid w:val="473169A2"/>
    <w:rsid w:val="473267DC"/>
    <w:rsid w:val="474F612B"/>
    <w:rsid w:val="47F1A5A4"/>
    <w:rsid w:val="47F57895"/>
    <w:rsid w:val="48041820"/>
    <w:rsid w:val="48054A1E"/>
    <w:rsid w:val="483AE889"/>
    <w:rsid w:val="489CF4E9"/>
    <w:rsid w:val="48AB6FD1"/>
    <w:rsid w:val="48B1F44F"/>
    <w:rsid w:val="49190BA3"/>
    <w:rsid w:val="4952A98A"/>
    <w:rsid w:val="497464F4"/>
    <w:rsid w:val="4A73A775"/>
    <w:rsid w:val="4AB740B9"/>
    <w:rsid w:val="4AC6F55E"/>
    <w:rsid w:val="4B2C013A"/>
    <w:rsid w:val="4B72894B"/>
    <w:rsid w:val="4B75C162"/>
    <w:rsid w:val="4BA48432"/>
    <w:rsid w:val="4BA5B43C"/>
    <w:rsid w:val="4C0374DD"/>
    <w:rsid w:val="4C74DC02"/>
    <w:rsid w:val="4C8A4A4C"/>
    <w:rsid w:val="4CA9E943"/>
    <w:rsid w:val="4D0E59AC"/>
    <w:rsid w:val="4DA9D5DA"/>
    <w:rsid w:val="4DAE3931"/>
    <w:rsid w:val="4DB9D86B"/>
    <w:rsid w:val="4DF83A75"/>
    <w:rsid w:val="4E24083C"/>
    <w:rsid w:val="4E416994"/>
    <w:rsid w:val="4E836FB0"/>
    <w:rsid w:val="4EAA2A0D"/>
    <w:rsid w:val="4F20D6CC"/>
    <w:rsid w:val="50116745"/>
    <w:rsid w:val="506F48EB"/>
    <w:rsid w:val="508B0E5F"/>
    <w:rsid w:val="50CAB4D8"/>
    <w:rsid w:val="50F99E39"/>
    <w:rsid w:val="510B3984"/>
    <w:rsid w:val="510DD861"/>
    <w:rsid w:val="515DBB6F"/>
    <w:rsid w:val="516D9839"/>
    <w:rsid w:val="5192EDF1"/>
    <w:rsid w:val="520A44C6"/>
    <w:rsid w:val="522067CB"/>
    <w:rsid w:val="523CBB79"/>
    <w:rsid w:val="52956E9A"/>
    <w:rsid w:val="532293AD"/>
    <w:rsid w:val="53700930"/>
    <w:rsid w:val="537278A7"/>
    <w:rsid w:val="53D9C143"/>
    <w:rsid w:val="53F253CC"/>
    <w:rsid w:val="54313EFB"/>
    <w:rsid w:val="5456A880"/>
    <w:rsid w:val="54A52A8C"/>
    <w:rsid w:val="5544F7E9"/>
    <w:rsid w:val="5549AE76"/>
    <w:rsid w:val="554BC0F1"/>
    <w:rsid w:val="555E7F82"/>
    <w:rsid w:val="557591A4"/>
    <w:rsid w:val="55FBC72D"/>
    <w:rsid w:val="56312C92"/>
    <w:rsid w:val="569AF146"/>
    <w:rsid w:val="56B6F968"/>
    <w:rsid w:val="56CF23A5"/>
    <w:rsid w:val="570467ED"/>
    <w:rsid w:val="57248ADE"/>
    <w:rsid w:val="57456478"/>
    <w:rsid w:val="577F507C"/>
    <w:rsid w:val="57B559B8"/>
    <w:rsid w:val="58456AC5"/>
    <w:rsid w:val="58558B53"/>
    <w:rsid w:val="5856A5A2"/>
    <w:rsid w:val="589DA0E1"/>
    <w:rsid w:val="58A5890C"/>
    <w:rsid w:val="5A9892F9"/>
    <w:rsid w:val="5AA0807F"/>
    <w:rsid w:val="5ABF5E3F"/>
    <w:rsid w:val="5ABFFA4A"/>
    <w:rsid w:val="5AE0E518"/>
    <w:rsid w:val="5B0C8B3B"/>
    <w:rsid w:val="5B7A8CFE"/>
    <w:rsid w:val="5BBB2F10"/>
    <w:rsid w:val="5C220499"/>
    <w:rsid w:val="5C3C50E0"/>
    <w:rsid w:val="5C4D8BB7"/>
    <w:rsid w:val="5C4E4A50"/>
    <w:rsid w:val="5CA85B9C"/>
    <w:rsid w:val="5CB8A4E5"/>
    <w:rsid w:val="5D5B3AFF"/>
    <w:rsid w:val="5D7FEDC5"/>
    <w:rsid w:val="5DD82141"/>
    <w:rsid w:val="5E0981DC"/>
    <w:rsid w:val="5E0A7C08"/>
    <w:rsid w:val="5E0D64D7"/>
    <w:rsid w:val="5E28757F"/>
    <w:rsid w:val="5E704E57"/>
    <w:rsid w:val="5E784129"/>
    <w:rsid w:val="5ECBF281"/>
    <w:rsid w:val="5F176758"/>
    <w:rsid w:val="5F338B25"/>
    <w:rsid w:val="5F6C9076"/>
    <w:rsid w:val="5FDFFC5E"/>
    <w:rsid w:val="602E5A1D"/>
    <w:rsid w:val="604B01CE"/>
    <w:rsid w:val="604DA367"/>
    <w:rsid w:val="609E662A"/>
    <w:rsid w:val="60E1EF1A"/>
    <w:rsid w:val="610FC203"/>
    <w:rsid w:val="61AB517A"/>
    <w:rsid w:val="61B2D9E7"/>
    <w:rsid w:val="61CA0882"/>
    <w:rsid w:val="627CC168"/>
    <w:rsid w:val="63215CB3"/>
    <w:rsid w:val="63354598"/>
    <w:rsid w:val="6335B694"/>
    <w:rsid w:val="6365D8E3"/>
    <w:rsid w:val="63891639"/>
    <w:rsid w:val="63D606EC"/>
    <w:rsid w:val="641D2943"/>
    <w:rsid w:val="64288CF1"/>
    <w:rsid w:val="642EA12A"/>
    <w:rsid w:val="644667C6"/>
    <w:rsid w:val="6459119F"/>
    <w:rsid w:val="645F2629"/>
    <w:rsid w:val="64B36D81"/>
    <w:rsid w:val="64BB51F5"/>
    <w:rsid w:val="64BFF872"/>
    <w:rsid w:val="64D223C0"/>
    <w:rsid w:val="64F90C4A"/>
    <w:rsid w:val="65D1B965"/>
    <w:rsid w:val="65F6055F"/>
    <w:rsid w:val="661057A2"/>
    <w:rsid w:val="664F2CBE"/>
    <w:rsid w:val="66B5E036"/>
    <w:rsid w:val="66D4D785"/>
    <w:rsid w:val="66D55669"/>
    <w:rsid w:val="66EBEE15"/>
    <w:rsid w:val="670288DC"/>
    <w:rsid w:val="671F4521"/>
    <w:rsid w:val="6763E62B"/>
    <w:rsid w:val="6766BEF2"/>
    <w:rsid w:val="68394A06"/>
    <w:rsid w:val="68960E33"/>
    <w:rsid w:val="68A52141"/>
    <w:rsid w:val="693438B3"/>
    <w:rsid w:val="698D9B76"/>
    <w:rsid w:val="699BDBFC"/>
    <w:rsid w:val="69A2EF45"/>
    <w:rsid w:val="69BAF3D0"/>
    <w:rsid w:val="69BC273C"/>
    <w:rsid w:val="69D0E9E1"/>
    <w:rsid w:val="6A734AC0"/>
    <w:rsid w:val="6AB4087A"/>
    <w:rsid w:val="6AC0AA5A"/>
    <w:rsid w:val="6ACFA5E8"/>
    <w:rsid w:val="6B0873D8"/>
    <w:rsid w:val="6BB2FCA5"/>
    <w:rsid w:val="6BC9A3FE"/>
    <w:rsid w:val="6C5274AA"/>
    <w:rsid w:val="6D83F52B"/>
    <w:rsid w:val="6D9919FC"/>
    <w:rsid w:val="6DE75820"/>
    <w:rsid w:val="6E20D233"/>
    <w:rsid w:val="6E6AAD77"/>
    <w:rsid w:val="6E9A2EF8"/>
    <w:rsid w:val="6EA5645C"/>
    <w:rsid w:val="6EC14BA4"/>
    <w:rsid w:val="6EE10CFF"/>
    <w:rsid w:val="6F34EA5D"/>
    <w:rsid w:val="6FACA047"/>
    <w:rsid w:val="6FCE6433"/>
    <w:rsid w:val="6FE8FA83"/>
    <w:rsid w:val="70124063"/>
    <w:rsid w:val="711DF847"/>
    <w:rsid w:val="711F2BB3"/>
    <w:rsid w:val="714490AC"/>
    <w:rsid w:val="716D747F"/>
    <w:rsid w:val="71E75806"/>
    <w:rsid w:val="721AA366"/>
    <w:rsid w:val="72C1B62E"/>
    <w:rsid w:val="72D872F8"/>
    <w:rsid w:val="73B95177"/>
    <w:rsid w:val="73BBE03E"/>
    <w:rsid w:val="742B34CB"/>
    <w:rsid w:val="74924910"/>
    <w:rsid w:val="74C8C285"/>
    <w:rsid w:val="74C99082"/>
    <w:rsid w:val="74D7F8BB"/>
    <w:rsid w:val="74FAA02D"/>
    <w:rsid w:val="75B09542"/>
    <w:rsid w:val="75F1696A"/>
    <w:rsid w:val="75F956F0"/>
    <w:rsid w:val="76321166"/>
    <w:rsid w:val="76A2A786"/>
    <w:rsid w:val="76AB42A7"/>
    <w:rsid w:val="770FED26"/>
    <w:rsid w:val="771197D2"/>
    <w:rsid w:val="777544DA"/>
    <w:rsid w:val="778790DA"/>
    <w:rsid w:val="78364573"/>
    <w:rsid w:val="7842A9D7"/>
    <w:rsid w:val="786EB9AF"/>
    <w:rsid w:val="78A5B2D6"/>
    <w:rsid w:val="78E6F524"/>
    <w:rsid w:val="7908E245"/>
    <w:rsid w:val="7965CE5B"/>
    <w:rsid w:val="797BE72E"/>
    <w:rsid w:val="79C59321"/>
    <w:rsid w:val="79D215D4"/>
    <w:rsid w:val="79FA5771"/>
    <w:rsid w:val="7A88806F"/>
    <w:rsid w:val="7AA5EF55"/>
    <w:rsid w:val="7AC4DA8D"/>
    <w:rsid w:val="7AD4F207"/>
    <w:rsid w:val="7B14E796"/>
    <w:rsid w:val="7B361FC0"/>
    <w:rsid w:val="7B5EF08A"/>
    <w:rsid w:val="7B8E3A4C"/>
    <w:rsid w:val="7BBC23C3"/>
    <w:rsid w:val="7BD41153"/>
    <w:rsid w:val="7C5E7A15"/>
    <w:rsid w:val="7C93E4CC"/>
    <w:rsid w:val="7D068F68"/>
    <w:rsid w:val="7D688FFA"/>
    <w:rsid w:val="7D6FE1B4"/>
    <w:rsid w:val="7DCD573A"/>
    <w:rsid w:val="7DFD7989"/>
    <w:rsid w:val="7E0468D5"/>
    <w:rsid w:val="7E0B5B5C"/>
    <w:rsid w:val="7E642046"/>
    <w:rsid w:val="7E8F7339"/>
    <w:rsid w:val="7ECDC894"/>
    <w:rsid w:val="7ED715E5"/>
    <w:rsid w:val="7F0F5151"/>
    <w:rsid w:val="7F1F55F9"/>
    <w:rsid w:val="7F9226AD"/>
    <w:rsid w:val="7F9949EA"/>
    <w:rsid w:val="7FA72BBD"/>
    <w:rsid w:val="7FB5F5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18B0"/>
  <w15:chartTrackingRefBased/>
  <w15:docId w15:val="{EC05C801-9D03-4DC6-B317-A9597E9E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B8C"/>
  </w:style>
  <w:style w:type="paragraph" w:styleId="Heading1">
    <w:name w:val="heading 1"/>
    <w:basedOn w:val="Normal"/>
    <w:next w:val="Normal"/>
    <w:link w:val="Heading1Char"/>
    <w:uiPriority w:val="9"/>
    <w:qFormat/>
    <w:rsid w:val="0050521B"/>
    <w:pPr>
      <w:spacing w:after="240" w:line="300" w:lineRule="atLeast"/>
      <w:outlineLvl w:val="0"/>
    </w:pPr>
    <w:rPr>
      <w:b/>
      <w:color w:val="002554" w:themeColor="text2"/>
      <w:sz w:val="32"/>
      <w:szCs w:val="32"/>
    </w:rPr>
  </w:style>
  <w:style w:type="paragraph" w:styleId="Heading2">
    <w:name w:val="heading 2"/>
    <w:basedOn w:val="Heading1"/>
    <w:next w:val="Normal"/>
    <w:link w:val="Heading2Char"/>
    <w:uiPriority w:val="9"/>
    <w:unhideWhenUsed/>
    <w:qFormat/>
    <w:rsid w:val="0050521B"/>
    <w:pPr>
      <w:outlineLvl w:val="1"/>
    </w:pPr>
    <w:rPr>
      <w:sz w:val="28"/>
      <w:szCs w:val="28"/>
    </w:rPr>
  </w:style>
  <w:style w:type="paragraph" w:styleId="Heading3">
    <w:name w:val="heading 3"/>
    <w:basedOn w:val="BodyText"/>
    <w:next w:val="Normal"/>
    <w:link w:val="Heading3Char"/>
    <w:uiPriority w:val="9"/>
    <w:unhideWhenUsed/>
    <w:qFormat/>
    <w:rsid w:val="007906A2"/>
    <w:pPr>
      <w:spacing w:before="240" w:after="120" w:line="240" w:lineRule="auto"/>
      <w:outlineLvl w:val="2"/>
    </w:pPr>
    <w:rPr>
      <w:b/>
      <w:color w:val="002554" w:themeColor="text2"/>
      <w:sz w:val="24"/>
      <w:szCs w:val="24"/>
    </w:rPr>
  </w:style>
  <w:style w:type="paragraph" w:styleId="Heading4">
    <w:name w:val="heading 4"/>
    <w:basedOn w:val="Heading5"/>
    <w:next w:val="Normal"/>
    <w:link w:val="Heading4Char"/>
    <w:uiPriority w:val="9"/>
    <w:unhideWhenUsed/>
    <w:qFormat/>
    <w:rsid w:val="0050521B"/>
    <w:pPr>
      <w:outlineLvl w:val="3"/>
    </w:pPr>
    <w:rPr>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after="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906A2"/>
    <w:pPr>
      <w:spacing w:after="240" w:line="300" w:lineRule="atLeast"/>
    </w:pPr>
  </w:style>
  <w:style w:type="character" w:customStyle="1" w:styleId="BodyTextChar">
    <w:name w:val="Body Text Char"/>
    <w:basedOn w:val="DefaultParagraphFont"/>
    <w:link w:val="BodyText"/>
    <w:uiPriority w:val="99"/>
    <w:rsid w:val="007906A2"/>
  </w:style>
  <w:style w:type="character" w:customStyle="1" w:styleId="Heading1Char">
    <w:name w:val="Heading 1 Char"/>
    <w:basedOn w:val="DefaultParagraphFont"/>
    <w:link w:val="Heading1"/>
    <w:uiPriority w:val="9"/>
    <w:rsid w:val="0050521B"/>
    <w:rPr>
      <w:b/>
      <w:color w:val="002554" w:themeColor="text2"/>
      <w:sz w:val="32"/>
      <w:szCs w:val="32"/>
    </w:rPr>
  </w:style>
  <w:style w:type="character" w:customStyle="1" w:styleId="Heading2Char">
    <w:name w:val="Heading 2 Char"/>
    <w:basedOn w:val="DefaultParagraphFont"/>
    <w:link w:val="Heading2"/>
    <w:uiPriority w:val="9"/>
    <w:rsid w:val="0050521B"/>
    <w:rPr>
      <w:b/>
      <w:color w:val="002554" w:themeColor="text2"/>
      <w:sz w:val="28"/>
      <w:szCs w:val="28"/>
    </w:rPr>
  </w:style>
  <w:style w:type="character" w:customStyle="1" w:styleId="Heading3Char">
    <w:name w:val="Heading 3 Char"/>
    <w:basedOn w:val="DefaultParagraphFont"/>
    <w:link w:val="Heading3"/>
    <w:uiPriority w:val="9"/>
    <w:rsid w:val="007906A2"/>
    <w:rPr>
      <w:b/>
      <w:color w:val="002554" w:themeColor="text2"/>
      <w:sz w:val="24"/>
      <w:szCs w:val="24"/>
    </w:rPr>
  </w:style>
  <w:style w:type="paragraph" w:styleId="BodyTextIndent">
    <w:name w:val="Body Text Indent"/>
    <w:basedOn w:val="Normal"/>
    <w:link w:val="BodyTextIndentChar"/>
    <w:uiPriority w:val="99"/>
    <w:unhideWhenUsed/>
    <w:qFormat/>
    <w:rsid w:val="007906A2"/>
    <w:pPr>
      <w:spacing w:after="240" w:line="300" w:lineRule="atLeast"/>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F83F07"/>
    <w:pPr>
      <w:numPr>
        <w:numId w:val="6"/>
      </w:numPr>
      <w:spacing w:after="240" w:line="300" w:lineRule="atLeast"/>
      <w:ind w:left="357" w:hanging="357"/>
    </w:pPr>
  </w:style>
  <w:style w:type="paragraph" w:customStyle="1" w:styleId="Bullet2">
    <w:name w:val="Bullet 2"/>
    <w:basedOn w:val="Normal"/>
    <w:qFormat/>
    <w:rsid w:val="00F83F07"/>
    <w:pPr>
      <w:numPr>
        <w:ilvl w:val="1"/>
        <w:numId w:val="7"/>
      </w:numPr>
      <w:spacing w:after="240" w:line="300" w:lineRule="atLeast"/>
      <w:ind w:left="714" w:hanging="357"/>
    </w:pPr>
  </w:style>
  <w:style w:type="paragraph" w:customStyle="1" w:styleId="Numberedtext1">
    <w:name w:val="Numbered text 1"/>
    <w:basedOn w:val="Normal"/>
    <w:qFormat/>
    <w:rsid w:val="00F83F07"/>
    <w:pPr>
      <w:numPr>
        <w:numId w:val="8"/>
      </w:numPr>
      <w:spacing w:after="240" w:line="300" w:lineRule="atLeast"/>
      <w:ind w:left="357" w:hanging="357"/>
    </w:pPr>
  </w:style>
  <w:style w:type="paragraph" w:customStyle="1" w:styleId="Numberedtext2">
    <w:name w:val="Numbered text 2"/>
    <w:basedOn w:val="Normal"/>
    <w:qFormat/>
    <w:rsid w:val="00F83F07"/>
    <w:pPr>
      <w:numPr>
        <w:ilvl w:val="1"/>
        <w:numId w:val="8"/>
      </w:numPr>
      <w:spacing w:after="240" w:line="300" w:lineRule="atLeast"/>
      <w:ind w:left="714" w:hanging="357"/>
    </w:pPr>
  </w:style>
  <w:style w:type="paragraph" w:styleId="FootnoteText">
    <w:name w:val="footnote text"/>
    <w:basedOn w:val="Normal"/>
    <w:link w:val="FootnoteTextChar"/>
    <w:uiPriority w:val="99"/>
    <w:semiHidden/>
    <w:unhideWhenUsed/>
    <w:rsid w:val="007906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6A2"/>
    <w:rPr>
      <w:sz w:val="20"/>
      <w:szCs w:val="20"/>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style>
  <w:style w:type="paragraph" w:customStyle="1" w:styleId="Boxedbluebullet">
    <w:name w:val="Boxed blue bullet"/>
    <w:basedOn w:val="Normal"/>
    <w:qFormat/>
    <w:rsid w:val="00F83F07"/>
    <w:pPr>
      <w:numPr>
        <w:numId w:val="9"/>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230F2C"/>
    <w:pPr>
      <w:spacing w:before="60" w:after="60" w:line="240" w:lineRule="auto"/>
    </w:pPr>
    <w:rPr>
      <w:bCs/>
      <w:color w:val="FFFFFF" w:themeColor="background1"/>
    </w:rPr>
  </w:style>
  <w:style w:type="paragraph" w:customStyle="1" w:styleId="TD">
    <w:name w:val="TD"/>
    <w:basedOn w:val="Normal"/>
    <w:qFormat/>
    <w:rsid w:val="00230F2C"/>
    <w:pPr>
      <w:spacing w:before="60" w:after="60" w:line="240" w:lineRule="auto"/>
    </w:pPr>
  </w:style>
  <w:style w:type="paragraph" w:styleId="Header">
    <w:name w:val="header"/>
    <w:basedOn w:val="Normal"/>
    <w:link w:val="HeaderChar"/>
    <w:uiPriority w:val="99"/>
    <w:unhideWhenUsed/>
    <w:qFormat/>
    <w:rsid w:val="000D5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after="0" w:line="240" w:lineRule="auto"/>
      <w:jc w:val="right"/>
    </w:pPr>
    <w:rPr>
      <w:sz w:val="20"/>
      <w:szCs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after="0" w:line="240" w:lineRule="auto"/>
    </w:pPr>
    <w:rPr>
      <w:b/>
    </w:rPr>
  </w:style>
  <w:style w:type="paragraph" w:styleId="TOC2">
    <w:name w:val="toc 2"/>
    <w:basedOn w:val="Normal"/>
    <w:next w:val="Normal"/>
    <w:autoRedefine/>
    <w:uiPriority w:val="39"/>
    <w:unhideWhenUsed/>
    <w:qFormat/>
    <w:rsid w:val="00B00DA0"/>
    <w:pPr>
      <w:tabs>
        <w:tab w:val="right" w:leader="dot" w:pos="9628"/>
      </w:tabs>
      <w:spacing w:after="0" w:line="240" w:lineRule="auto"/>
    </w:pPr>
    <w:rPr>
      <w:noProof/>
    </w:rPr>
  </w:style>
  <w:style w:type="paragraph" w:styleId="ListParagraph">
    <w:name w:val="List Paragraph"/>
    <w:basedOn w:val="Normal"/>
    <w:uiPriority w:val="34"/>
    <w:rsid w:val="004C31D6"/>
    <w:pPr>
      <w:ind w:left="720"/>
      <w:contextualSpacing/>
    </w:pPr>
  </w:style>
  <w:style w:type="paragraph" w:customStyle="1" w:styleId="Boxedbluenumbered">
    <w:name w:val="Boxed blue numbered"/>
    <w:basedOn w:val="Boxedbluetext"/>
    <w:qFormat/>
    <w:rsid w:val="004C31D6"/>
    <w:pPr>
      <w:numPr>
        <w:numId w:val="16"/>
      </w:numPr>
      <w:ind w:left="641" w:hanging="357"/>
    </w:pPr>
  </w:style>
  <w:style w:type="paragraph" w:customStyle="1" w:styleId="Boxedyellownumber">
    <w:name w:val="Boxed yellow number"/>
    <w:basedOn w:val="Boxedyellowbullet"/>
    <w:qFormat/>
    <w:rsid w:val="004C31D6"/>
    <w:pPr>
      <w:numPr>
        <w:numId w:val="18"/>
      </w:numPr>
      <w:ind w:left="641" w:hanging="357"/>
    </w:pPr>
  </w:style>
  <w:style w:type="character" w:customStyle="1" w:styleId="Heading4Char">
    <w:name w:val="Heading 4 Char"/>
    <w:basedOn w:val="DefaultParagraphFont"/>
    <w:link w:val="Heading4"/>
    <w:uiPriority w:val="9"/>
    <w:rsid w:val="0050521B"/>
    <w:rPr>
      <w:rFonts w:asciiTheme="majorHAnsi" w:eastAsiaTheme="majorEastAsia" w:hAnsiTheme="majorHAnsi" w:cstheme="majorBidi"/>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CA0D4B"/>
    <w:pPr>
      <w:spacing w:after="0" w:line="240" w:lineRule="auto"/>
    </w:pPr>
  </w:style>
  <w:style w:type="character" w:styleId="CommentReference">
    <w:name w:val="annotation reference"/>
    <w:basedOn w:val="DefaultParagraphFont"/>
    <w:uiPriority w:val="99"/>
    <w:semiHidden/>
    <w:unhideWhenUsed/>
    <w:rsid w:val="00F87317"/>
    <w:rPr>
      <w:sz w:val="16"/>
      <w:szCs w:val="16"/>
    </w:rPr>
  </w:style>
  <w:style w:type="paragraph" w:styleId="CommentText">
    <w:name w:val="annotation text"/>
    <w:basedOn w:val="Normal"/>
    <w:link w:val="CommentTextChar"/>
    <w:uiPriority w:val="99"/>
    <w:unhideWhenUsed/>
    <w:rsid w:val="00F87317"/>
    <w:pPr>
      <w:spacing w:line="240" w:lineRule="auto"/>
    </w:pPr>
    <w:rPr>
      <w:sz w:val="20"/>
      <w:szCs w:val="20"/>
    </w:rPr>
  </w:style>
  <w:style w:type="character" w:customStyle="1" w:styleId="CommentTextChar">
    <w:name w:val="Comment Text Char"/>
    <w:basedOn w:val="DefaultParagraphFont"/>
    <w:link w:val="CommentText"/>
    <w:uiPriority w:val="99"/>
    <w:rsid w:val="00F87317"/>
    <w:rPr>
      <w:sz w:val="20"/>
      <w:szCs w:val="20"/>
    </w:rPr>
  </w:style>
  <w:style w:type="paragraph" w:styleId="CommentSubject">
    <w:name w:val="annotation subject"/>
    <w:basedOn w:val="CommentText"/>
    <w:next w:val="CommentText"/>
    <w:link w:val="CommentSubjectChar"/>
    <w:uiPriority w:val="99"/>
    <w:semiHidden/>
    <w:unhideWhenUsed/>
    <w:rsid w:val="00F87317"/>
    <w:rPr>
      <w:b/>
      <w:bCs/>
    </w:rPr>
  </w:style>
  <w:style w:type="character" w:customStyle="1" w:styleId="CommentSubjectChar">
    <w:name w:val="Comment Subject Char"/>
    <w:basedOn w:val="CommentTextChar"/>
    <w:link w:val="CommentSubject"/>
    <w:uiPriority w:val="99"/>
    <w:semiHidden/>
    <w:rsid w:val="00F87317"/>
    <w:rPr>
      <w:b/>
      <w:bCs/>
      <w:sz w:val="20"/>
      <w:szCs w:val="20"/>
    </w:rPr>
  </w:style>
  <w:style w:type="character" w:styleId="Hyperlink">
    <w:name w:val="Hyperlink"/>
    <w:basedOn w:val="DefaultParagraphFont"/>
    <w:uiPriority w:val="99"/>
    <w:unhideWhenUsed/>
    <w:rsid w:val="008D7D4B"/>
    <w:rPr>
      <w:color w:val="0000FF"/>
      <w:u w:val="single"/>
    </w:rPr>
  </w:style>
  <w:style w:type="character" w:styleId="UnresolvedMention">
    <w:name w:val="Unresolved Mention"/>
    <w:basedOn w:val="DefaultParagraphFont"/>
    <w:uiPriority w:val="99"/>
    <w:semiHidden/>
    <w:unhideWhenUsed/>
    <w:rsid w:val="009E5B1D"/>
    <w:rPr>
      <w:color w:val="605E5C"/>
      <w:shd w:val="clear" w:color="auto" w:fill="E1DFDD"/>
    </w:rPr>
  </w:style>
  <w:style w:type="character" w:styleId="Strong">
    <w:name w:val="Strong"/>
    <w:basedOn w:val="DefaultParagraphFont"/>
    <w:uiPriority w:val="22"/>
    <w:qFormat/>
    <w:rsid w:val="00F84DD8"/>
    <w:rPr>
      <w:b/>
      <w:bCs/>
    </w:rPr>
  </w:style>
  <w:style w:type="character" w:styleId="FollowedHyperlink">
    <w:name w:val="FollowedHyperlink"/>
    <w:basedOn w:val="DefaultParagraphFont"/>
    <w:uiPriority w:val="99"/>
    <w:semiHidden/>
    <w:unhideWhenUsed/>
    <w:rsid w:val="00D900E5"/>
    <w:rPr>
      <w:color w:val="002554"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ingston.ac.uk/undergraduate/fees-and-funding/bursaries/" TargetMode="External"/><Relationship Id="rId18" Type="http://schemas.openxmlformats.org/officeDocument/2006/relationships/hyperlink" Target="mailto:j.woods@kingston.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kingston.ac.uk/undergraduate/fees-and-funding/fees/" TargetMode="External"/><Relationship Id="rId17" Type="http://schemas.openxmlformats.org/officeDocument/2006/relationships/hyperlink" Target="https://www.kingston.ac.uk/disability/mental-health-and-wellbeing-framework/" TargetMode="External"/><Relationship Id="rId2" Type="http://schemas.openxmlformats.org/officeDocument/2006/relationships/customXml" Target="../customXml/item2.xml"/><Relationship Id="rId16" Type="http://schemas.openxmlformats.org/officeDocument/2006/relationships/hyperlink" Target="https://www.kingston.ac.uk/undergraduate/access/head-sta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ngston.ac.uk/undergraduate/access/" TargetMode="External"/><Relationship Id="rId5" Type="http://schemas.openxmlformats.org/officeDocument/2006/relationships/numbering" Target="numbering.xml"/><Relationship Id="rId15" Type="http://schemas.openxmlformats.org/officeDocument/2006/relationships/hyperlink" Target="https://www.kingston.ac.uk/undergraduate/fees-and-funding/bursari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ngston.ac.uk/undergraduate/fees-and-funding/fe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fficeforstudents.org.uk/data-and-analysis/associations-between-characteristics-of-students/progressing-from-full-time-higher-education/" TargetMode="External"/></Relationship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8C844B78263847BBC42535ADDD1F59" ma:contentTypeVersion="17" ma:contentTypeDescription="Create a new document." ma:contentTypeScope="" ma:versionID="f61bc43b460229f95dd37cecf1f68faf">
  <xsd:schema xmlns:xsd="http://www.w3.org/2001/XMLSchema" xmlns:xs="http://www.w3.org/2001/XMLSchema" xmlns:p="http://schemas.microsoft.com/office/2006/metadata/properties" xmlns:ns1="http://schemas.microsoft.com/sharepoint/v3" xmlns:ns2="065d631a-904c-40cb-9588-0b45d4519dca" xmlns:ns3="c0d07f7e-1d11-4a9a-a55e-efd02bb8b979" targetNamespace="http://schemas.microsoft.com/office/2006/metadata/properties" ma:root="true" ma:fieldsID="4afd164861db8697c07944a243bbff01" ns1:_="" ns2:_="" ns3:_="">
    <xsd:import namespace="http://schemas.microsoft.com/sharepoint/v3"/>
    <xsd:import namespace="065d631a-904c-40cb-9588-0b45d4519dca"/>
    <xsd:import namespace="c0d07f7e-1d11-4a9a-a55e-efd02bb8b9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d631a-904c-40cb-9588-0b45d4519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6dc7449-21e0-4505-979b-465e99fd7f0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07f7e-1d11-4a9a-a55e-efd02bb8b9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aed6b6e-f25d-4f10-91db-2a2e8791a33c}" ma:internalName="TaxCatchAll" ma:showField="CatchAllData" ma:web="c0d07f7e-1d11-4a9a-a55e-efd02bb8b9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d07f7e-1d11-4a9a-a55e-efd02bb8b979" xsi:nil="true"/>
    <lcf76f155ced4ddcb4097134ff3c332f xmlns="065d631a-904c-40cb-9588-0b45d4519d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3BCD8-89A1-4081-9022-994122AB15C0}">
  <ds:schemaRefs>
    <ds:schemaRef ds:uri="http://schemas.microsoft.com/sharepoint/v3/contenttype/forms"/>
  </ds:schemaRefs>
</ds:datastoreItem>
</file>

<file path=customXml/itemProps2.xml><?xml version="1.0" encoding="utf-8"?>
<ds:datastoreItem xmlns:ds="http://schemas.openxmlformats.org/officeDocument/2006/customXml" ds:itemID="{D331A115-08C9-493B-90DF-496F3C7BF8C7}"/>
</file>

<file path=customXml/itemProps3.xml><?xml version="1.0" encoding="utf-8"?>
<ds:datastoreItem xmlns:ds="http://schemas.openxmlformats.org/officeDocument/2006/customXml" ds:itemID="{7FB86671-2A96-4CE6-BBFD-A2E0FF0AE185}">
  <ds:schemaRefs>
    <ds:schemaRef ds:uri="http://schemas.openxmlformats.org/officeDocument/2006/bibliography"/>
  </ds:schemaRefs>
</ds:datastoreItem>
</file>

<file path=customXml/itemProps4.xml><?xml version="1.0" encoding="utf-8"?>
<ds:datastoreItem xmlns:ds="http://schemas.openxmlformats.org/officeDocument/2006/customXml" ds:itemID="{69AF136C-3E1C-49BF-ADCC-C004307C3253}">
  <ds:schemaRefs>
    <ds:schemaRef ds:uri="http://schemas.microsoft.com/office/2006/metadata/properties"/>
    <ds:schemaRef ds:uri="http://www.w3.org/XML/1998/namespace"/>
    <ds:schemaRef ds:uri="46a2ad6a-27ee-45e3-9d5c-547c738ac3aa"/>
    <ds:schemaRef ds:uri="http://purl.org/dc/elements/1.1/"/>
    <ds:schemaRef ds:uri="e0068fd4-c4af-4c53-9a60-8043af590632"/>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1489</Words>
  <Characters>8492</Characters>
  <Application>Microsoft Office Word</Application>
  <DocSecurity>0</DocSecurity>
  <Lines>70</Lines>
  <Paragraphs>19</Paragraphs>
  <ScaleCrop>false</ScaleCrop>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and participation plan summary template</dc:title>
  <dc:subject/>
  <dc:creator>Rebecca Tataryn</dc:creator>
  <cp:keywords/>
  <dc:description/>
  <cp:lastModifiedBy>Campbell, Adam M</cp:lastModifiedBy>
  <cp:revision>2</cp:revision>
  <dcterms:created xsi:type="dcterms:W3CDTF">2025-03-19T11:53:00Z</dcterms:created>
  <dcterms:modified xsi:type="dcterms:W3CDTF">2025-03-19T11:53:00Z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0x010100F18C844B78263847BBC42535ADDD1F59</vt:lpwstr>
  </property>
  <property fmtid="{D5CDD505-2E9C-101B-9397-08002B2CF9AE}" pid="3" name="MediaServiceImageTags">
    <vt:lpwstr/>
  </property>
  <property fmtid="{D5CDD505-2E9C-101B-9397-08002B2CF9AE}" pid="4" name="RecordType">
    <vt:lpwstr/>
  </property>
  <property fmtid="{D5CDD505-2E9C-101B-9397-08002B2CF9AE}" pid="5" name="MSIP_Label_55e1b534-098f-4ac8-9223-69712ddf82de_Enabled">
    <vt:lpwstr>true</vt:lpwstr>
  </property>
  <property fmtid="{D5CDD505-2E9C-101B-9397-08002B2CF9AE}" pid="6" name="MSIP_Label_55e1b534-098f-4ac8-9223-69712ddf82de_SetDate">
    <vt:lpwstr>2025-03-19T11:52:27Z</vt:lpwstr>
  </property>
  <property fmtid="{D5CDD505-2E9C-101B-9397-08002B2CF9AE}" pid="7" name="MSIP_Label_55e1b534-098f-4ac8-9223-69712ddf82de_Method">
    <vt:lpwstr>Standard</vt:lpwstr>
  </property>
  <property fmtid="{D5CDD505-2E9C-101B-9397-08002B2CF9AE}" pid="8" name="MSIP_Label_55e1b534-098f-4ac8-9223-69712ddf82de_Name">
    <vt:lpwstr>Public Document</vt:lpwstr>
  </property>
  <property fmtid="{D5CDD505-2E9C-101B-9397-08002B2CF9AE}" pid="9" name="MSIP_Label_55e1b534-098f-4ac8-9223-69712ddf82de_SiteId">
    <vt:lpwstr>c9ef029c-18cf-4016-86d3-93cf8e94ff94</vt:lpwstr>
  </property>
  <property fmtid="{D5CDD505-2E9C-101B-9397-08002B2CF9AE}" pid="10" name="MSIP_Label_55e1b534-098f-4ac8-9223-69712ddf82de_ActionId">
    <vt:lpwstr>ee93f8ef-176e-45cc-8937-baeefa04cc2d</vt:lpwstr>
  </property>
  <property fmtid="{D5CDD505-2E9C-101B-9397-08002B2CF9AE}" pid="11" name="MSIP_Label_55e1b534-098f-4ac8-9223-69712ddf82de_ContentBits">
    <vt:lpwstr>0</vt:lpwstr>
  </property>
  <property fmtid="{D5CDD505-2E9C-101B-9397-08002B2CF9AE}" pid="12" name="MSIP_Label_55e1b534-098f-4ac8-9223-69712ddf82de_Tag">
    <vt:lpwstr>10, 3, 0, 2</vt:lpwstr>
  </property>
</Properties>
</file>