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3DBA" w14:textId="549B0BDC"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EDUCATION COMMITTEE</w:t>
      </w:r>
    </w:p>
    <w:p w14:paraId="3C6455D5" w14:textId="69E4216B"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Type</w:t>
      </w:r>
      <w:r w:rsidRPr="75D1039B">
        <w:rPr>
          <w:rFonts w:ascii="Arial" w:eastAsia="Arial" w:hAnsi="Arial" w:cs="Arial"/>
          <w:color w:val="000000" w:themeColor="text1"/>
          <w:sz w:val="22"/>
          <w:szCs w:val="22"/>
        </w:rPr>
        <w:t>: Standing Committee</w:t>
      </w:r>
    </w:p>
    <w:p w14:paraId="3E1F1F1E" w14:textId="3B7FE08A"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Reporting Line</w:t>
      </w:r>
      <w:r w:rsidRPr="75D1039B">
        <w:rPr>
          <w:rFonts w:ascii="Arial" w:eastAsia="Arial" w:hAnsi="Arial" w:cs="Arial"/>
          <w:color w:val="000000" w:themeColor="text1"/>
          <w:sz w:val="22"/>
          <w:szCs w:val="22"/>
        </w:rPr>
        <w:t>: Academic Council</w:t>
      </w:r>
    </w:p>
    <w:p w14:paraId="1F06F01E" w14:textId="7F9378B4"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Timing:</w:t>
      </w:r>
      <w:r w:rsidRPr="75D1039B">
        <w:rPr>
          <w:rFonts w:ascii="Arial" w:eastAsia="Arial" w:hAnsi="Arial" w:cs="Arial"/>
          <w:color w:val="000000" w:themeColor="text1"/>
          <w:sz w:val="22"/>
          <w:szCs w:val="22"/>
        </w:rPr>
        <w:t xml:space="preserve"> 6 per academic year</w:t>
      </w:r>
    </w:p>
    <w:p w14:paraId="27E11395" w14:textId="5A1E8DCF"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Cycle:</w:t>
      </w:r>
      <w:r w:rsidRPr="75D1039B">
        <w:rPr>
          <w:rFonts w:ascii="Arial" w:eastAsia="Arial" w:hAnsi="Arial" w:cs="Arial"/>
          <w:color w:val="000000" w:themeColor="text1"/>
          <w:sz w:val="22"/>
          <w:szCs w:val="22"/>
        </w:rPr>
        <w:t xml:space="preserve"> Academic Council</w:t>
      </w:r>
    </w:p>
    <w:p w14:paraId="43CE43B4" w14:textId="13553FFF" w:rsidR="00E11F2E" w:rsidRDefault="00E11F2E" w:rsidP="75D1039B">
      <w:pPr>
        <w:spacing w:after="0" w:line="240" w:lineRule="auto"/>
        <w:rPr>
          <w:rFonts w:ascii="Arial" w:eastAsia="Arial" w:hAnsi="Arial" w:cs="Arial"/>
          <w:color w:val="000000" w:themeColor="text1"/>
        </w:rPr>
      </w:pPr>
    </w:p>
    <w:p w14:paraId="42170149" w14:textId="469D032B"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TERMS OF REFERENCE/FUNCTIONS</w:t>
      </w:r>
      <w:r w:rsidRPr="75D1039B">
        <w:rPr>
          <w:rFonts w:ascii="Arial" w:eastAsia="Arial" w:hAnsi="Arial" w:cs="Arial"/>
          <w:color w:val="000000" w:themeColor="text1"/>
          <w:sz w:val="22"/>
          <w:szCs w:val="22"/>
        </w:rPr>
        <w:t>:</w:t>
      </w:r>
    </w:p>
    <w:p w14:paraId="16B601E8" w14:textId="1E193BCF"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identify and promote institutional understanding of teaching excellence at Kingston informed by our own context and developing sector practice.</w:t>
      </w:r>
    </w:p>
    <w:p w14:paraId="2C473398" w14:textId="332B5694" w:rsidR="00E11F2E" w:rsidRDefault="00E11F2E" w:rsidP="75D1039B">
      <w:pPr>
        <w:spacing w:after="0" w:line="240" w:lineRule="auto"/>
        <w:ind w:left="284"/>
        <w:rPr>
          <w:rFonts w:ascii="Arial" w:eastAsia="Arial" w:hAnsi="Arial" w:cs="Arial"/>
          <w:color w:val="000000" w:themeColor="text1"/>
        </w:rPr>
      </w:pPr>
    </w:p>
    <w:p w14:paraId="42FC01BD" w14:textId="7B36B206"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 xml:space="preserve">To develop and support policy and practice for the continuous enhancement of teaching, quality and the learning environment and to monitor the effectiveness and impact of those initiatives. </w:t>
      </w:r>
    </w:p>
    <w:p w14:paraId="67203613" w14:textId="2588569C" w:rsidR="00E11F2E" w:rsidRDefault="00E11F2E" w:rsidP="75D1039B">
      <w:pPr>
        <w:spacing w:after="0" w:line="240" w:lineRule="auto"/>
        <w:ind w:left="720"/>
        <w:rPr>
          <w:rFonts w:ascii="Arial" w:eastAsia="Arial" w:hAnsi="Arial" w:cs="Arial"/>
          <w:color w:val="FF0000"/>
        </w:rPr>
      </w:pPr>
    </w:p>
    <w:p w14:paraId="4F762B69" w14:textId="27D1AC31"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support, implement, and monitor, through the receipt of regular reports, those initiatives developed to enhance student outcomes, and to agree mitigating action if any risks to student outcomes are identified.</w:t>
      </w:r>
    </w:p>
    <w:p w14:paraId="512CF5EF" w14:textId="48B3DF36" w:rsidR="00E11F2E" w:rsidRDefault="00E11F2E" w:rsidP="75D1039B">
      <w:pPr>
        <w:spacing w:after="0" w:line="240" w:lineRule="auto"/>
        <w:rPr>
          <w:rFonts w:ascii="Arial" w:eastAsia="Arial" w:hAnsi="Arial" w:cs="Arial"/>
          <w:color w:val="000000" w:themeColor="text1"/>
        </w:rPr>
      </w:pPr>
    </w:p>
    <w:p w14:paraId="64A146A6" w14:textId="0BF043D4"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develop and maintain the quality assurance and enhancement framework to ensure it safeguards standards, underpins student success and support, and includes the mechanisms to automatically trigger corrective action.</w:t>
      </w:r>
    </w:p>
    <w:p w14:paraId="15343BF2" w14:textId="2D6A0BB3" w:rsidR="00E11F2E" w:rsidRDefault="00E11F2E" w:rsidP="75D1039B">
      <w:pPr>
        <w:spacing w:after="0" w:line="240" w:lineRule="auto"/>
        <w:ind w:left="720"/>
        <w:rPr>
          <w:rFonts w:ascii="Arial" w:eastAsia="Arial" w:hAnsi="Arial" w:cs="Arial"/>
          <w:color w:val="000000" w:themeColor="text1"/>
        </w:rPr>
      </w:pPr>
    </w:p>
    <w:p w14:paraId="43C09D26" w14:textId="5E8CC59C"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ensure that all relevant external quality assessment requirements are met.</w:t>
      </w:r>
    </w:p>
    <w:p w14:paraId="6587E8DE" w14:textId="31BCF408" w:rsidR="00E11F2E" w:rsidRDefault="00E11F2E" w:rsidP="75D1039B">
      <w:pPr>
        <w:spacing w:after="0" w:line="240" w:lineRule="auto"/>
        <w:rPr>
          <w:rFonts w:ascii="Arial" w:eastAsia="Arial" w:hAnsi="Arial" w:cs="Arial"/>
          <w:color w:val="000000" w:themeColor="text1"/>
        </w:rPr>
      </w:pPr>
    </w:p>
    <w:p w14:paraId="1D3E0051" w14:textId="4B64CE1B"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maintain strategic oversight of the University’s academic portfolio.</w:t>
      </w:r>
    </w:p>
    <w:p w14:paraId="0BC01790" w14:textId="0750C508" w:rsidR="00E11F2E" w:rsidRDefault="00E11F2E" w:rsidP="75D1039B">
      <w:pPr>
        <w:spacing w:after="0" w:line="240" w:lineRule="auto"/>
        <w:ind w:left="720"/>
        <w:rPr>
          <w:rFonts w:ascii="Arial" w:eastAsia="Arial" w:hAnsi="Arial" w:cs="Arial"/>
          <w:color w:val="000000" w:themeColor="text1"/>
        </w:rPr>
      </w:pPr>
    </w:p>
    <w:p w14:paraId="18BBCF74" w14:textId="23DD94A4"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maintain oversight of Professional, Statutory and Regulatory Body (PSRB) activities and accreditations.</w:t>
      </w:r>
    </w:p>
    <w:p w14:paraId="40A7772D" w14:textId="30608AF7" w:rsidR="00E11F2E" w:rsidRDefault="00E11F2E" w:rsidP="75D1039B">
      <w:pPr>
        <w:spacing w:after="0" w:line="240" w:lineRule="auto"/>
        <w:ind w:left="720"/>
        <w:rPr>
          <w:rFonts w:ascii="Arial" w:eastAsia="Arial" w:hAnsi="Arial" w:cs="Arial"/>
          <w:color w:val="000000" w:themeColor="text1"/>
        </w:rPr>
      </w:pPr>
    </w:p>
    <w:p w14:paraId="076D1841" w14:textId="1904D9B8"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have oversight of the University’s approach to assuring the completeness, accuracy, reliability and fitness for purpose of information provided for applicants and students.</w:t>
      </w:r>
    </w:p>
    <w:p w14:paraId="5E229CCB" w14:textId="54F476DF" w:rsidR="00E11F2E" w:rsidRDefault="00E11F2E" w:rsidP="75D1039B">
      <w:pPr>
        <w:spacing w:after="0" w:line="240" w:lineRule="auto"/>
        <w:ind w:left="720"/>
        <w:rPr>
          <w:rFonts w:ascii="Arial" w:eastAsia="Arial" w:hAnsi="Arial" w:cs="Arial"/>
          <w:color w:val="000000" w:themeColor="text1"/>
        </w:rPr>
      </w:pPr>
    </w:p>
    <w:p w14:paraId="3E195F33" w14:textId="77777777" w:rsidR="00E85C5E" w:rsidRPr="00E85C5E" w:rsidRDefault="00E85C5E" w:rsidP="00E85C5E">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00E85C5E">
        <w:rPr>
          <w:rFonts w:ascii="Arial" w:eastAsia="Arial" w:hAnsi="Arial" w:cs="Arial"/>
          <w:color w:val="000000" w:themeColor="text1"/>
          <w:sz w:val="22"/>
          <w:szCs w:val="22"/>
        </w:rPr>
        <w:t>To oversee partnership provision through due diligence, quality assurance and risk management to maintain academic standards, protect the student experience and ensure compliance with regulatory requirements, taking action where necessary to mitigate risk.</w:t>
      </w:r>
    </w:p>
    <w:p w14:paraId="48E800FF" w14:textId="77777777" w:rsidR="00CC4151" w:rsidRDefault="00CC4151" w:rsidP="00CC4151">
      <w:pPr>
        <w:pStyle w:val="ListParagraph"/>
        <w:rPr>
          <w:rFonts w:ascii="Arial" w:eastAsia="Arial" w:hAnsi="Arial" w:cs="Arial"/>
          <w:color w:val="000000" w:themeColor="text1"/>
        </w:rPr>
      </w:pPr>
    </w:p>
    <w:p w14:paraId="7FEB2119" w14:textId="26E3CB92"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receive and consider relevant annual reports and to refer issues of relevance or note to Academic Council and/or other committees, as appropriate.</w:t>
      </w:r>
    </w:p>
    <w:p w14:paraId="5C2F99C7" w14:textId="6541E488" w:rsidR="00E11F2E" w:rsidRDefault="00E11F2E" w:rsidP="75D1039B">
      <w:pPr>
        <w:spacing w:after="0" w:line="240" w:lineRule="auto"/>
        <w:ind w:left="720"/>
        <w:rPr>
          <w:rFonts w:ascii="Arial" w:eastAsia="Arial" w:hAnsi="Arial" w:cs="Arial"/>
          <w:color w:val="000000" w:themeColor="text1"/>
        </w:rPr>
      </w:pPr>
    </w:p>
    <w:p w14:paraId="16A626B2" w14:textId="4A26635F"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identify, discuss and agree appropriate mitigating action in relation to academic issues and risks.</w:t>
      </w:r>
    </w:p>
    <w:p w14:paraId="466C8622" w14:textId="6A53D2CB" w:rsidR="00E11F2E" w:rsidRDefault="00E11F2E" w:rsidP="75D1039B">
      <w:pPr>
        <w:spacing w:after="0" w:line="240" w:lineRule="auto"/>
        <w:ind w:left="720"/>
        <w:rPr>
          <w:rFonts w:ascii="Arial" w:eastAsia="Arial" w:hAnsi="Arial" w:cs="Arial"/>
          <w:color w:val="000000" w:themeColor="text1"/>
        </w:rPr>
      </w:pPr>
    </w:p>
    <w:p w14:paraId="22B8E096" w14:textId="2C0FE80E"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 xml:space="preserve"> To consider matters raised by members, and to direct members to communicate and/or consult on proposals and initiatives within their faculties.</w:t>
      </w:r>
    </w:p>
    <w:p w14:paraId="2D45B959" w14:textId="0399BE39" w:rsidR="00E11F2E" w:rsidRDefault="00E11F2E" w:rsidP="75D1039B">
      <w:pPr>
        <w:spacing w:after="0" w:line="240" w:lineRule="auto"/>
        <w:ind w:left="720"/>
        <w:rPr>
          <w:rFonts w:ascii="Arial" w:eastAsia="Arial" w:hAnsi="Arial" w:cs="Arial"/>
          <w:color w:val="000000" w:themeColor="text1"/>
        </w:rPr>
      </w:pPr>
    </w:p>
    <w:p w14:paraId="175468F0" w14:textId="4574386E" w:rsidR="00E11F2E" w:rsidRDefault="031C9342" w:rsidP="75D1039B">
      <w:pPr>
        <w:pStyle w:val="NormalWeb"/>
        <w:numPr>
          <w:ilvl w:val="0"/>
          <w:numId w:val="2"/>
        </w:numPr>
        <w:spacing w:before="0" w:beforeAutospacing="0" w:after="0" w:afterAutospacing="0"/>
        <w:ind w:left="426" w:hanging="426"/>
        <w:rPr>
          <w:rFonts w:ascii="Arial" w:eastAsia="Arial" w:hAnsi="Arial" w:cs="Arial"/>
          <w:color w:val="000000" w:themeColor="text1"/>
          <w:sz w:val="22"/>
          <w:szCs w:val="22"/>
        </w:rPr>
      </w:pPr>
      <w:r w:rsidRPr="75D1039B">
        <w:rPr>
          <w:rFonts w:ascii="Arial" w:eastAsia="Arial" w:hAnsi="Arial" w:cs="Arial"/>
          <w:color w:val="000000" w:themeColor="text1"/>
          <w:sz w:val="22"/>
          <w:szCs w:val="22"/>
        </w:rPr>
        <w:t>To direct the work of approved sub-committees and groups and to receive reports and recommendations therefrom.</w:t>
      </w:r>
    </w:p>
    <w:p w14:paraId="51FF30CD" w14:textId="55AA80CF" w:rsidR="00E11F2E" w:rsidRDefault="00E11F2E" w:rsidP="75D1039B">
      <w:pPr>
        <w:spacing w:after="0" w:line="240" w:lineRule="auto"/>
        <w:rPr>
          <w:rFonts w:ascii="Arial" w:eastAsia="Arial" w:hAnsi="Arial" w:cs="Arial"/>
          <w:color w:val="000000" w:themeColor="text1"/>
        </w:rPr>
      </w:pPr>
    </w:p>
    <w:p w14:paraId="5CC73597" w14:textId="1F48F6DA" w:rsidR="00E11F2E" w:rsidRDefault="00E11F2E" w:rsidP="75D1039B">
      <w:pPr>
        <w:spacing w:after="0" w:line="240" w:lineRule="auto"/>
        <w:rPr>
          <w:rFonts w:ascii="Arial" w:eastAsia="Arial" w:hAnsi="Arial" w:cs="Arial"/>
          <w:color w:val="000000" w:themeColor="text1"/>
        </w:rPr>
      </w:pPr>
    </w:p>
    <w:p w14:paraId="45FD929D" w14:textId="2945E0B0" w:rsidR="00E11F2E" w:rsidRDefault="00E11F2E" w:rsidP="75D1039B">
      <w:pPr>
        <w:spacing w:after="0" w:line="240" w:lineRule="auto"/>
        <w:rPr>
          <w:rFonts w:ascii="Helvetica" w:eastAsia="Helvetica" w:hAnsi="Helvetica" w:cs="Helvetica"/>
          <w:color w:val="FF0000"/>
          <w:sz w:val="24"/>
          <w:szCs w:val="24"/>
        </w:rPr>
      </w:pPr>
    </w:p>
    <w:p w14:paraId="78DAFBF8" w14:textId="0EB33376"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lastRenderedPageBreak/>
        <w:t>MEMBERSHIP:</w:t>
      </w:r>
    </w:p>
    <w:p w14:paraId="38949F36" w14:textId="77777777" w:rsidR="004E7F9C" w:rsidRDefault="004E7F9C" w:rsidP="00B827B4">
      <w:pPr>
        <w:pStyle w:val="NormalWeb"/>
        <w:numPr>
          <w:ilvl w:val="0"/>
          <w:numId w:val="5"/>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 xml:space="preserve">Pro Vice-Chancellor Education (Chair) </w:t>
      </w:r>
    </w:p>
    <w:p w14:paraId="38ACAF70"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A Deputy Dean for a period of two academic years (Deputy Chair)</w:t>
      </w:r>
    </w:p>
    <w:p w14:paraId="53D33DD8" w14:textId="788BE715"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Quality Assurance and Enhancement (Clerk)</w:t>
      </w:r>
    </w:p>
    <w:p w14:paraId="69F85F5B"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The Deputy Dean from each faculty [4]</w:t>
      </w:r>
    </w:p>
    <w:p w14:paraId="786F28BB"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A Faculty Academic Representative from each faculty nominated by the Faculty Deputy Dean for a period of two academic years [4]</w:t>
      </w:r>
    </w:p>
    <w:p w14:paraId="5B7A85BE"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Learning and Teaching Enhancement</w:t>
      </w:r>
    </w:p>
    <w:p w14:paraId="0669B4F3"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Technology Enhanced Learning</w:t>
      </w:r>
    </w:p>
    <w:p w14:paraId="204F8979"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Library and Learning Services</w:t>
      </w:r>
    </w:p>
    <w:p w14:paraId="2659AD77"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 xml:space="preserve">Director of Student Development and Graduate Success </w:t>
      </w:r>
    </w:p>
    <w:p w14:paraId="59608525"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 xml:space="preserve">Student Services Director </w:t>
      </w:r>
    </w:p>
    <w:p w14:paraId="66E0D141"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Academic Registrar (Regulations, Assessment and Student Casework)</w:t>
      </w:r>
    </w:p>
    <w:p w14:paraId="59C88B45"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Degree Apprenticeships and Compliance (or their nominee)</w:t>
      </w:r>
    </w:p>
    <w:p w14:paraId="27A1D401" w14:textId="77777777" w:rsidR="004E7F9C" w:rsidRPr="004E7F9C" w:rsidRDefault="004E7F9C" w:rsidP="00B827B4">
      <w:pPr>
        <w:pStyle w:val="NormalWeb"/>
        <w:numPr>
          <w:ilvl w:val="0"/>
          <w:numId w:val="5"/>
        </w:numPr>
        <w:spacing w:before="0" w:beforeAutospacing="0" w:after="0" w:afterAutospacing="0"/>
        <w:rPr>
          <w:rFonts w:ascii="Arial" w:eastAsia="Arial" w:hAnsi="Arial" w:cs="Arial"/>
          <w:sz w:val="22"/>
          <w:szCs w:val="22"/>
        </w:rPr>
      </w:pPr>
      <w:r w:rsidRPr="004E7F9C">
        <w:rPr>
          <w:rFonts w:ascii="Arial" w:eastAsia="Arial" w:hAnsi="Arial" w:cs="Arial"/>
          <w:sz w:val="22"/>
          <w:szCs w:val="22"/>
        </w:rPr>
        <w:t>Head of Institutional Performance</w:t>
      </w:r>
    </w:p>
    <w:p w14:paraId="064EF452" w14:textId="77777777" w:rsidR="004E7F9C" w:rsidRDefault="004E7F9C" w:rsidP="00B827B4">
      <w:pPr>
        <w:pStyle w:val="NormalWeb"/>
        <w:numPr>
          <w:ilvl w:val="0"/>
          <w:numId w:val="5"/>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Student Recruitment and Admissions Director</w:t>
      </w:r>
    </w:p>
    <w:p w14:paraId="1DFFABFB" w14:textId="77777777" w:rsidR="004E7F9C" w:rsidRDefault="004E7F9C" w:rsidP="00B827B4">
      <w:pPr>
        <w:pStyle w:val="NormalWeb"/>
        <w:numPr>
          <w:ilvl w:val="0"/>
          <w:numId w:val="5"/>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Two nominated Officers from the Kingston Students Union [2]</w:t>
      </w:r>
    </w:p>
    <w:p w14:paraId="0CC6D4DC" w14:textId="00203724" w:rsidR="00E11F2E" w:rsidRDefault="00E11F2E" w:rsidP="75D1039B">
      <w:pPr>
        <w:spacing w:after="0" w:line="240" w:lineRule="auto"/>
        <w:rPr>
          <w:rFonts w:ascii="Arial" w:eastAsia="Arial" w:hAnsi="Arial" w:cs="Arial"/>
          <w:color w:val="000000" w:themeColor="text1"/>
        </w:rPr>
      </w:pPr>
    </w:p>
    <w:p w14:paraId="65134A3F" w14:textId="5A77D510" w:rsidR="00E11F2E" w:rsidRDefault="00E11F2E" w:rsidP="75D1039B">
      <w:pPr>
        <w:spacing w:after="0" w:line="240" w:lineRule="auto"/>
        <w:rPr>
          <w:rFonts w:ascii="Arial" w:eastAsia="Arial" w:hAnsi="Arial" w:cs="Arial"/>
          <w:color w:val="000000" w:themeColor="text1"/>
        </w:rPr>
      </w:pPr>
    </w:p>
    <w:p w14:paraId="23AB11CB" w14:textId="7F369811"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Total membership:  21</w:t>
      </w:r>
    </w:p>
    <w:p w14:paraId="73FD5EEC" w14:textId="36721731" w:rsidR="00E11F2E" w:rsidRDefault="00E11F2E" w:rsidP="75D1039B">
      <w:pPr>
        <w:spacing w:after="0" w:line="240" w:lineRule="auto"/>
        <w:rPr>
          <w:rFonts w:ascii="Arial" w:eastAsia="Arial" w:hAnsi="Arial" w:cs="Arial"/>
          <w:color w:val="000000" w:themeColor="text1"/>
        </w:rPr>
      </w:pPr>
    </w:p>
    <w:p w14:paraId="0DD40064" w14:textId="53571914" w:rsidR="00E11F2E" w:rsidRDefault="00E11F2E" w:rsidP="75D1039B">
      <w:pPr>
        <w:spacing w:after="0" w:line="240" w:lineRule="auto"/>
        <w:rPr>
          <w:rFonts w:ascii="Arial" w:eastAsia="Arial" w:hAnsi="Arial" w:cs="Arial"/>
          <w:color w:val="000000" w:themeColor="text1"/>
        </w:rPr>
      </w:pPr>
    </w:p>
    <w:p w14:paraId="0DCF8A06" w14:textId="3103276F"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In attendance:</w:t>
      </w:r>
    </w:p>
    <w:p w14:paraId="7EACF621" w14:textId="77777777" w:rsidR="00171324" w:rsidRDefault="00171324" w:rsidP="00171324">
      <w:pPr>
        <w:pStyle w:val="NormalWeb"/>
        <w:numPr>
          <w:ilvl w:val="0"/>
          <w:numId w:val="7"/>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Academic Co-Lead for Future Skills</w:t>
      </w:r>
    </w:p>
    <w:p w14:paraId="73349673" w14:textId="77777777" w:rsidR="00171324" w:rsidRDefault="00171324" w:rsidP="00171324">
      <w:pPr>
        <w:pStyle w:val="NormalWeb"/>
        <w:numPr>
          <w:ilvl w:val="0"/>
          <w:numId w:val="7"/>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Graduate Research School Manager</w:t>
      </w:r>
    </w:p>
    <w:p w14:paraId="22456BF3" w14:textId="77777777" w:rsidR="00171324" w:rsidRDefault="00171324" w:rsidP="00171324">
      <w:pPr>
        <w:pStyle w:val="NormalWeb"/>
        <w:numPr>
          <w:ilvl w:val="0"/>
          <w:numId w:val="7"/>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 xml:space="preserve">Student Voice and Insight Manager, Union of Kingston Students </w:t>
      </w:r>
    </w:p>
    <w:p w14:paraId="5C4B1C99" w14:textId="77777777" w:rsidR="00171324" w:rsidRDefault="00171324" w:rsidP="00171324">
      <w:pPr>
        <w:pStyle w:val="NormalWeb"/>
        <w:numPr>
          <w:ilvl w:val="0"/>
          <w:numId w:val="7"/>
        </w:numPr>
        <w:spacing w:before="0" w:beforeAutospacing="0" w:after="0" w:afterAutospacing="0"/>
        <w:rPr>
          <w:rFonts w:ascii="Arial" w:eastAsia="Arial" w:hAnsi="Arial" w:cs="Arial"/>
          <w:color w:val="000000" w:themeColor="text1"/>
          <w:sz w:val="22"/>
          <w:szCs w:val="22"/>
        </w:rPr>
      </w:pPr>
      <w:r>
        <w:rPr>
          <w:rFonts w:ascii="Arial" w:eastAsia="Arial" w:hAnsi="Arial" w:cs="Arial"/>
          <w:color w:val="000000" w:themeColor="text1"/>
          <w:sz w:val="22"/>
          <w:szCs w:val="22"/>
        </w:rPr>
        <w:t>Head of Membership Services</w:t>
      </w:r>
      <w:r w:rsidRPr="75D1039B">
        <w:rPr>
          <w:rFonts w:ascii="Arial" w:eastAsia="Arial" w:hAnsi="Arial" w:cs="Arial"/>
          <w:color w:val="000000" w:themeColor="text1"/>
          <w:sz w:val="22"/>
          <w:szCs w:val="22"/>
        </w:rPr>
        <w:t>, Union of Kingston Students</w:t>
      </w:r>
    </w:p>
    <w:p w14:paraId="4894F2D2" w14:textId="77777777" w:rsidR="00171324" w:rsidRPr="00171324" w:rsidRDefault="00171324" w:rsidP="00171324">
      <w:pPr>
        <w:pStyle w:val="NormalWeb"/>
        <w:numPr>
          <w:ilvl w:val="0"/>
          <w:numId w:val="7"/>
        </w:numPr>
        <w:spacing w:before="0" w:beforeAutospacing="0" w:after="0" w:afterAutospacing="0"/>
        <w:rPr>
          <w:rFonts w:ascii="Arial" w:eastAsia="Arial" w:hAnsi="Arial" w:cs="Arial"/>
          <w:sz w:val="22"/>
          <w:szCs w:val="22"/>
        </w:rPr>
      </w:pPr>
      <w:r w:rsidRPr="00171324">
        <w:rPr>
          <w:rFonts w:ascii="Arial" w:eastAsia="Arial" w:hAnsi="Arial" w:cs="Arial"/>
          <w:sz w:val="22"/>
          <w:szCs w:val="22"/>
        </w:rPr>
        <w:t>Representative from ITS</w:t>
      </w:r>
    </w:p>
    <w:p w14:paraId="153448F2" w14:textId="77777777" w:rsidR="00171324" w:rsidRPr="00171324" w:rsidRDefault="00171324" w:rsidP="00171324">
      <w:pPr>
        <w:pStyle w:val="NormalWeb"/>
        <w:numPr>
          <w:ilvl w:val="0"/>
          <w:numId w:val="7"/>
        </w:numPr>
        <w:spacing w:before="0" w:beforeAutospacing="0" w:after="0" w:afterAutospacing="0"/>
        <w:rPr>
          <w:rFonts w:ascii="Arial" w:eastAsia="Arial" w:hAnsi="Arial" w:cs="Arial"/>
          <w:sz w:val="22"/>
          <w:szCs w:val="22"/>
        </w:rPr>
      </w:pPr>
      <w:r w:rsidRPr="00171324">
        <w:rPr>
          <w:rFonts w:ascii="Arial" w:eastAsia="Arial" w:hAnsi="Arial" w:cs="Arial"/>
          <w:sz w:val="22"/>
          <w:szCs w:val="22"/>
        </w:rPr>
        <w:t>Representative from Estates</w:t>
      </w:r>
    </w:p>
    <w:p w14:paraId="11DF198C" w14:textId="77777777" w:rsidR="00171324" w:rsidRDefault="00171324" w:rsidP="00171324">
      <w:pPr>
        <w:pStyle w:val="NormalWeb"/>
        <w:numPr>
          <w:ilvl w:val="0"/>
          <w:numId w:val="7"/>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Senior Academic Project Manager, QAE (Minute Secretary)</w:t>
      </w:r>
    </w:p>
    <w:p w14:paraId="74F3A906" w14:textId="1D4DE85F" w:rsidR="00E11F2E" w:rsidRDefault="00E11F2E" w:rsidP="75D1039B">
      <w:pPr>
        <w:spacing w:after="0" w:line="240" w:lineRule="auto"/>
        <w:rPr>
          <w:rFonts w:ascii="Arial" w:eastAsia="Arial" w:hAnsi="Arial" w:cs="Arial"/>
          <w:color w:val="000000" w:themeColor="text1"/>
        </w:rPr>
      </w:pPr>
    </w:p>
    <w:p w14:paraId="5EF54564" w14:textId="780BB3F2"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Other members of professional or academic staff may be invited to attend as required by the agenda.</w:t>
      </w:r>
    </w:p>
    <w:p w14:paraId="527DB400" w14:textId="39C6EAA1" w:rsidR="00E11F2E" w:rsidRDefault="00E11F2E" w:rsidP="75D1039B">
      <w:pPr>
        <w:spacing w:after="0" w:line="240" w:lineRule="auto"/>
        <w:rPr>
          <w:rFonts w:ascii="Arial" w:eastAsia="Arial" w:hAnsi="Arial" w:cs="Arial"/>
          <w:color w:val="000000" w:themeColor="text1"/>
        </w:rPr>
      </w:pPr>
    </w:p>
    <w:p w14:paraId="0FE35AF9" w14:textId="61E7BCA2"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QUORACY:</w:t>
      </w:r>
    </w:p>
    <w:p w14:paraId="0D945B73" w14:textId="7F01E8B0"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color w:val="000000" w:themeColor="text1"/>
          <w:sz w:val="22"/>
          <w:szCs w:val="22"/>
        </w:rPr>
        <w:t>The meeting shall be quorate if, within twenty minutes of the published start time of the meeting, at least 50% of the members are present. If a quorum is not present after twenty minutes, the meeting shall stand adjourned and a special meeting shall be summoned as soon as reasonably practicable. Alternatively, the Chair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 There is no minimum quoracy threshold for informal meetings; however, it is at the discretion of the Chair whether to proceed with the meeting on an informal basis in light of the number of members present.</w:t>
      </w:r>
    </w:p>
    <w:p w14:paraId="78B6159B" w14:textId="17AAF523"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color w:val="000000" w:themeColor="text1"/>
          <w:sz w:val="22"/>
          <w:szCs w:val="22"/>
        </w:rPr>
        <w:t>Where members are unable to attend a meeting, they should inform the Minute Secretary and nominate an alternative representative to attend in their place. If a member fails to attend two or more meetings within an academic year, this will be flagged to the Chair.</w:t>
      </w:r>
    </w:p>
    <w:p w14:paraId="2FCE5844" w14:textId="0ACA9FEB"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color w:val="000000" w:themeColor="text1"/>
          <w:sz w:val="22"/>
          <w:szCs w:val="22"/>
        </w:rPr>
        <w:lastRenderedPageBreak/>
        <w:t xml:space="preserve">The full Rules and Procedures are available at: </w:t>
      </w:r>
      <w:hyperlink r:id="rId11">
        <w:r w:rsidRPr="75D1039B">
          <w:rPr>
            <w:rStyle w:val="Hyperlink"/>
            <w:rFonts w:ascii="Arial" w:eastAsia="Arial" w:hAnsi="Arial" w:cs="Arial"/>
            <w:sz w:val="22"/>
            <w:szCs w:val="22"/>
          </w:rPr>
          <w:t>Committee (sharepoint.com)</w:t>
        </w:r>
      </w:hyperlink>
    </w:p>
    <w:p w14:paraId="7D99050D" w14:textId="0CCEEFC7" w:rsidR="00E11F2E" w:rsidRDefault="031C9342" w:rsidP="75D1039B">
      <w:pPr>
        <w:pStyle w:val="NormalWeb"/>
        <w:rPr>
          <w:rFonts w:ascii="Arial" w:eastAsia="Arial" w:hAnsi="Arial" w:cs="Arial"/>
          <w:color w:val="000000" w:themeColor="text1"/>
          <w:sz w:val="22"/>
          <w:szCs w:val="22"/>
        </w:rPr>
      </w:pPr>
      <w:r w:rsidRPr="75D1039B">
        <w:rPr>
          <w:rFonts w:ascii="Arial" w:eastAsia="Arial" w:hAnsi="Arial" w:cs="Arial"/>
          <w:b/>
          <w:bCs/>
          <w:color w:val="000000" w:themeColor="text1"/>
          <w:sz w:val="22"/>
          <w:szCs w:val="22"/>
        </w:rPr>
        <w:t xml:space="preserve">SUB-COMMITTEES / SUB-GROUPS </w:t>
      </w:r>
    </w:p>
    <w:p w14:paraId="741BA359" w14:textId="022DD74C" w:rsidR="00E11F2E" w:rsidRDefault="031C9342" w:rsidP="75D1039B">
      <w:pPr>
        <w:pStyle w:val="NormalWeb"/>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The Education Committee has the following sub-committees/sub-groups:</w:t>
      </w:r>
    </w:p>
    <w:p w14:paraId="262770E4" w14:textId="64B2F873"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Faculty Education Committees (FEC)</w:t>
      </w:r>
    </w:p>
    <w:p w14:paraId="72B5654A" w14:textId="113FD8A2"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Quality Assurance Portfolio Change Committee (QAPCC)</w:t>
      </w:r>
    </w:p>
    <w:p w14:paraId="1773F51B" w14:textId="6A0AF4A2"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Portfolio Management Group (PMG)</w:t>
      </w:r>
    </w:p>
    <w:p w14:paraId="585A7F47" w14:textId="6EA0E860"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Apprenticeship Operations and Compliance Group (AOCG)</w:t>
      </w:r>
    </w:p>
    <w:p w14:paraId="0DB90F8C" w14:textId="4822C023"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Student Voice Group (SVG)</w:t>
      </w:r>
    </w:p>
    <w:p w14:paraId="3819E6FA" w14:textId="3B9DAFBD"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Academic Information Monitoring Group (AIMG)</w:t>
      </w:r>
    </w:p>
    <w:p w14:paraId="17A42210" w14:textId="548D7933"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Course and Module Modifications Panel (CMMP)</w:t>
      </w:r>
    </w:p>
    <w:p w14:paraId="445C72D3" w14:textId="5B9DB1EE" w:rsidR="00E11F2E" w:rsidRDefault="031C9342"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sidRPr="75D1039B">
        <w:rPr>
          <w:rFonts w:ascii="Arial" w:eastAsia="Arial" w:hAnsi="Arial" w:cs="Arial"/>
          <w:color w:val="000000" w:themeColor="text1"/>
          <w:sz w:val="22"/>
          <w:szCs w:val="22"/>
        </w:rPr>
        <w:t>Learning, Teaching and Assessment Group (LTAG)</w:t>
      </w:r>
    </w:p>
    <w:p w14:paraId="3E5F19FF" w14:textId="415A687F" w:rsidR="00884F3A" w:rsidRDefault="00884F3A"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Pr>
          <w:rFonts w:ascii="Arial" w:eastAsia="Arial" w:hAnsi="Arial" w:cs="Arial"/>
          <w:color w:val="000000" w:themeColor="text1"/>
          <w:sz w:val="22"/>
          <w:szCs w:val="22"/>
        </w:rPr>
        <w:t>Joint Executive Committee (JEC)</w:t>
      </w:r>
    </w:p>
    <w:p w14:paraId="15C81663" w14:textId="288F3213" w:rsidR="00EA620F" w:rsidRDefault="00EA620F" w:rsidP="75D1039B">
      <w:pPr>
        <w:pStyle w:val="NormalWeb"/>
        <w:numPr>
          <w:ilvl w:val="0"/>
          <w:numId w:val="1"/>
        </w:numPr>
        <w:spacing w:before="0" w:beforeAutospacing="0" w:after="0" w:afterAutospacing="0"/>
        <w:rPr>
          <w:rFonts w:ascii="Arial" w:eastAsia="Arial" w:hAnsi="Arial" w:cs="Arial"/>
          <w:color w:val="000000" w:themeColor="text1"/>
          <w:sz w:val="22"/>
          <w:szCs w:val="22"/>
        </w:rPr>
      </w:pPr>
      <w:r>
        <w:rPr>
          <w:rFonts w:ascii="Arial" w:eastAsia="Arial" w:hAnsi="Arial" w:cs="Arial"/>
          <w:color w:val="000000" w:themeColor="text1"/>
          <w:sz w:val="22"/>
          <w:szCs w:val="22"/>
        </w:rPr>
        <w:t>KULISC Steering Committee</w:t>
      </w:r>
    </w:p>
    <w:p w14:paraId="5C5EDDD1" w14:textId="61AD66D5" w:rsidR="00E11F2E" w:rsidRDefault="00E11F2E" w:rsidP="75D1039B">
      <w:pPr>
        <w:rPr>
          <w:rFonts w:ascii="Calibri" w:eastAsia="Calibri" w:hAnsi="Calibri" w:cs="Calibri"/>
          <w:color w:val="000000" w:themeColor="text1"/>
        </w:rPr>
      </w:pPr>
    </w:p>
    <w:p w14:paraId="5B1A795C" w14:textId="2F321C7E" w:rsidR="00E11F2E" w:rsidRDefault="00E11F2E" w:rsidP="75D1039B">
      <w:pPr>
        <w:rPr>
          <w:rFonts w:ascii="Arial" w:hAnsi="Arial" w:cs="Arial"/>
          <w:b/>
          <w:bCs/>
          <w:color w:val="000000" w:themeColor="text1"/>
        </w:rPr>
      </w:pPr>
    </w:p>
    <w:sectPr w:rsidR="00E11F2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2F24" w14:textId="77777777" w:rsidR="00055156" w:rsidRDefault="00055156" w:rsidP="005D2740">
      <w:pPr>
        <w:spacing w:after="0" w:line="240" w:lineRule="auto"/>
      </w:pPr>
      <w:r>
        <w:separator/>
      </w:r>
    </w:p>
  </w:endnote>
  <w:endnote w:type="continuationSeparator" w:id="0">
    <w:p w14:paraId="188250CD" w14:textId="77777777" w:rsidR="00055156" w:rsidRDefault="00055156" w:rsidP="005D2740">
      <w:pPr>
        <w:spacing w:after="0" w:line="240" w:lineRule="auto"/>
      </w:pPr>
      <w:r>
        <w:continuationSeparator/>
      </w:r>
    </w:p>
  </w:endnote>
  <w:endnote w:type="continuationNotice" w:id="1">
    <w:p w14:paraId="0F84B317" w14:textId="77777777" w:rsidR="00055156" w:rsidRDefault="00055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0F55" w14:textId="77777777" w:rsidR="00015869" w:rsidRDefault="0001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2498" w14:textId="657E8176" w:rsidR="00F07394" w:rsidRPr="00680262" w:rsidRDefault="2CFB3D69" w:rsidP="00F07394">
    <w:pPr>
      <w:pStyle w:val="Footer"/>
      <w:tabs>
        <w:tab w:val="center" w:pos="7513"/>
      </w:tabs>
      <w:rPr>
        <w:rFonts w:ascii="Arial" w:hAnsi="Arial" w:cs="Arial"/>
        <w:sz w:val="16"/>
        <w:szCs w:val="16"/>
      </w:rPr>
    </w:pPr>
    <w:r w:rsidRPr="2CFB3D69">
      <w:rPr>
        <w:rFonts w:ascii="Arial" w:hAnsi="Arial" w:cs="Arial"/>
        <w:sz w:val="16"/>
        <w:szCs w:val="16"/>
      </w:rPr>
      <w:t>AQSH:  OG (iii)</w:t>
    </w:r>
    <w:r w:rsidR="0E1E28DE">
      <w:tab/>
    </w:r>
    <w:r w:rsidRPr="2CFB3D69">
      <w:rPr>
        <w:rFonts w:ascii="Arial" w:hAnsi="Arial" w:cs="Arial"/>
        <w:sz w:val="16"/>
        <w:szCs w:val="16"/>
      </w:rPr>
      <w:t xml:space="preserve">      2025-26</w:t>
    </w:r>
    <w:r w:rsidR="0E1E28DE">
      <w:tab/>
    </w:r>
    <w:r w:rsidRPr="2CFB3D69">
      <w:rPr>
        <w:rFonts w:ascii="Arial" w:hAnsi="Arial" w:cs="Arial"/>
        <w:sz w:val="16"/>
        <w:szCs w:val="16"/>
      </w:rPr>
      <w:t xml:space="preserve">                   Page </w:t>
    </w:r>
    <w:r w:rsidR="0E1E28DE" w:rsidRPr="2CFB3D69">
      <w:rPr>
        <w:rFonts w:ascii="Arial" w:hAnsi="Arial" w:cs="Arial"/>
        <w:b/>
        <w:bCs/>
        <w:sz w:val="16"/>
        <w:szCs w:val="16"/>
      </w:rPr>
      <w:fldChar w:fldCharType="begin"/>
    </w:r>
    <w:r w:rsidR="0E1E28DE" w:rsidRPr="2CFB3D69">
      <w:rPr>
        <w:rFonts w:ascii="Arial" w:hAnsi="Arial" w:cs="Arial"/>
        <w:b/>
        <w:bCs/>
        <w:sz w:val="16"/>
        <w:szCs w:val="16"/>
      </w:rPr>
      <w:instrText xml:space="preserve"> PAGE </w:instrText>
    </w:r>
    <w:r w:rsidR="0E1E28DE" w:rsidRPr="2CFB3D69">
      <w:rPr>
        <w:rFonts w:ascii="Arial" w:hAnsi="Arial" w:cs="Arial"/>
        <w:b/>
        <w:bCs/>
        <w:sz w:val="16"/>
        <w:szCs w:val="16"/>
      </w:rPr>
      <w:fldChar w:fldCharType="separate"/>
    </w:r>
    <w:r w:rsidRPr="2CFB3D69">
      <w:rPr>
        <w:rFonts w:ascii="Arial" w:hAnsi="Arial" w:cs="Arial"/>
        <w:b/>
        <w:bCs/>
        <w:sz w:val="16"/>
        <w:szCs w:val="16"/>
      </w:rPr>
      <w:t>1</w:t>
    </w:r>
    <w:r w:rsidR="0E1E28DE" w:rsidRPr="2CFB3D69">
      <w:rPr>
        <w:rFonts w:ascii="Arial" w:hAnsi="Arial" w:cs="Arial"/>
        <w:b/>
        <w:bCs/>
        <w:sz w:val="16"/>
        <w:szCs w:val="16"/>
      </w:rPr>
      <w:fldChar w:fldCharType="end"/>
    </w:r>
    <w:r w:rsidRPr="2CFB3D69">
      <w:rPr>
        <w:rFonts w:ascii="Arial" w:hAnsi="Arial" w:cs="Arial"/>
        <w:sz w:val="16"/>
        <w:szCs w:val="16"/>
      </w:rPr>
      <w:t xml:space="preserve"> of </w:t>
    </w:r>
    <w:r w:rsidR="0E1E28DE" w:rsidRPr="2CFB3D69">
      <w:rPr>
        <w:rFonts w:ascii="Arial" w:hAnsi="Arial" w:cs="Arial"/>
        <w:b/>
        <w:bCs/>
        <w:sz w:val="16"/>
        <w:szCs w:val="16"/>
      </w:rPr>
      <w:fldChar w:fldCharType="begin"/>
    </w:r>
    <w:r w:rsidR="0E1E28DE" w:rsidRPr="2CFB3D69">
      <w:rPr>
        <w:rFonts w:ascii="Arial" w:hAnsi="Arial" w:cs="Arial"/>
        <w:b/>
        <w:bCs/>
        <w:sz w:val="16"/>
        <w:szCs w:val="16"/>
      </w:rPr>
      <w:instrText xml:space="preserve"> NUMPAGES  </w:instrText>
    </w:r>
    <w:r w:rsidR="0E1E28DE" w:rsidRPr="2CFB3D69">
      <w:rPr>
        <w:rFonts w:ascii="Arial" w:hAnsi="Arial" w:cs="Arial"/>
        <w:b/>
        <w:bCs/>
        <w:sz w:val="16"/>
        <w:szCs w:val="16"/>
      </w:rPr>
      <w:fldChar w:fldCharType="separate"/>
    </w:r>
    <w:r w:rsidRPr="2CFB3D69">
      <w:rPr>
        <w:rFonts w:ascii="Arial" w:hAnsi="Arial" w:cs="Arial"/>
        <w:b/>
        <w:bCs/>
        <w:sz w:val="16"/>
        <w:szCs w:val="16"/>
      </w:rPr>
      <w:t>2</w:t>
    </w:r>
    <w:r w:rsidR="0E1E28DE" w:rsidRPr="2CFB3D69">
      <w:rPr>
        <w:rFonts w:ascii="Arial" w:hAnsi="Arial" w:cs="Arial"/>
        <w:b/>
        <w:bCs/>
        <w:sz w:val="16"/>
        <w:szCs w:val="16"/>
      </w:rPr>
      <w:fldChar w:fldCharType="end"/>
    </w:r>
  </w:p>
  <w:p w14:paraId="5FF6B370" w14:textId="5A1F14BB" w:rsidR="00F07394" w:rsidRPr="00680262" w:rsidRDefault="00F07394">
    <w:pPr>
      <w:pStyle w:val="Footer"/>
      <w:rPr>
        <w:rFonts w:ascii="Arial" w:hAnsi="Arial" w:cs="Arial"/>
        <w:sz w:val="16"/>
        <w:szCs w:val="16"/>
      </w:rPr>
    </w:pPr>
  </w:p>
  <w:p w14:paraId="02C1811F" w14:textId="77777777" w:rsidR="005D2740" w:rsidRDefault="005D2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9E59" w14:textId="77777777" w:rsidR="00015869" w:rsidRDefault="0001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76F4" w14:textId="77777777" w:rsidR="00055156" w:rsidRDefault="00055156" w:rsidP="005D2740">
      <w:pPr>
        <w:spacing w:after="0" w:line="240" w:lineRule="auto"/>
      </w:pPr>
      <w:r>
        <w:separator/>
      </w:r>
    </w:p>
  </w:footnote>
  <w:footnote w:type="continuationSeparator" w:id="0">
    <w:p w14:paraId="39A64723" w14:textId="77777777" w:rsidR="00055156" w:rsidRDefault="00055156" w:rsidP="005D2740">
      <w:pPr>
        <w:spacing w:after="0" w:line="240" w:lineRule="auto"/>
      </w:pPr>
      <w:r>
        <w:continuationSeparator/>
      </w:r>
    </w:p>
  </w:footnote>
  <w:footnote w:type="continuationNotice" w:id="1">
    <w:p w14:paraId="1CAE2DBF" w14:textId="77777777" w:rsidR="00055156" w:rsidRDefault="00055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A206" w14:textId="77777777" w:rsidR="00015869" w:rsidRDefault="00015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8BAB" w14:textId="5754DF1A" w:rsidR="6F456D6C" w:rsidRDefault="6F456D6C" w:rsidP="6F456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F0F6" w14:textId="77777777" w:rsidR="00015869" w:rsidRDefault="0001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3CF5"/>
    <w:multiLevelType w:val="hybridMultilevel"/>
    <w:tmpl w:val="53846594"/>
    <w:lvl w:ilvl="0" w:tplc="3F340D6E">
      <w:start w:val="1"/>
      <w:numFmt w:val="decimal"/>
      <w:lvlText w:val="%1."/>
      <w:lvlJc w:val="left"/>
      <w:pPr>
        <w:ind w:left="720" w:hanging="360"/>
      </w:pPr>
      <w:rPr>
        <w:rFonts w:ascii="Arial" w:hAnsi="Arial" w:hint="default"/>
      </w:rPr>
    </w:lvl>
    <w:lvl w:ilvl="1" w:tplc="9258A3DA">
      <w:start w:val="1"/>
      <w:numFmt w:val="lowerLetter"/>
      <w:lvlText w:val="%2."/>
      <w:lvlJc w:val="left"/>
      <w:pPr>
        <w:ind w:left="1440" w:hanging="360"/>
      </w:pPr>
    </w:lvl>
    <w:lvl w:ilvl="2" w:tplc="5CD82AAE">
      <w:start w:val="1"/>
      <w:numFmt w:val="lowerRoman"/>
      <w:lvlText w:val="%3."/>
      <w:lvlJc w:val="right"/>
      <w:pPr>
        <w:ind w:left="2160" w:hanging="180"/>
      </w:pPr>
    </w:lvl>
    <w:lvl w:ilvl="3" w:tplc="A0FEBD78">
      <w:start w:val="1"/>
      <w:numFmt w:val="decimal"/>
      <w:lvlText w:val="%4."/>
      <w:lvlJc w:val="left"/>
      <w:pPr>
        <w:ind w:left="2880" w:hanging="360"/>
      </w:pPr>
    </w:lvl>
    <w:lvl w:ilvl="4" w:tplc="3BDCE28A">
      <w:start w:val="1"/>
      <w:numFmt w:val="lowerLetter"/>
      <w:lvlText w:val="%5."/>
      <w:lvlJc w:val="left"/>
      <w:pPr>
        <w:ind w:left="3600" w:hanging="360"/>
      </w:pPr>
    </w:lvl>
    <w:lvl w:ilvl="5" w:tplc="8BCA527C">
      <w:start w:val="1"/>
      <w:numFmt w:val="lowerRoman"/>
      <w:lvlText w:val="%6."/>
      <w:lvlJc w:val="right"/>
      <w:pPr>
        <w:ind w:left="4320" w:hanging="180"/>
      </w:pPr>
    </w:lvl>
    <w:lvl w:ilvl="6" w:tplc="E79020A2">
      <w:start w:val="1"/>
      <w:numFmt w:val="decimal"/>
      <w:lvlText w:val="%7."/>
      <w:lvlJc w:val="left"/>
      <w:pPr>
        <w:ind w:left="5040" w:hanging="360"/>
      </w:pPr>
    </w:lvl>
    <w:lvl w:ilvl="7" w:tplc="473EA02A">
      <w:start w:val="1"/>
      <w:numFmt w:val="lowerLetter"/>
      <w:lvlText w:val="%8."/>
      <w:lvlJc w:val="left"/>
      <w:pPr>
        <w:ind w:left="5760" w:hanging="360"/>
      </w:pPr>
    </w:lvl>
    <w:lvl w:ilvl="8" w:tplc="0CA43EEE">
      <w:start w:val="1"/>
      <w:numFmt w:val="lowerRoman"/>
      <w:lvlText w:val="%9."/>
      <w:lvlJc w:val="right"/>
      <w:pPr>
        <w:ind w:left="6480" w:hanging="180"/>
      </w:pPr>
    </w:lvl>
  </w:abstractNum>
  <w:abstractNum w:abstractNumId="1" w15:restartNumberingAfterBreak="0">
    <w:nsid w:val="3C08395F"/>
    <w:multiLevelType w:val="hybridMultilevel"/>
    <w:tmpl w:val="4AAC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85468"/>
    <w:multiLevelType w:val="hybridMultilevel"/>
    <w:tmpl w:val="C47C7442"/>
    <w:lvl w:ilvl="0" w:tplc="9200A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3FBEC"/>
    <w:multiLevelType w:val="hybridMultilevel"/>
    <w:tmpl w:val="DF0C7E7C"/>
    <w:lvl w:ilvl="0" w:tplc="EAC88374">
      <w:start w:val="1"/>
      <w:numFmt w:val="bullet"/>
      <w:lvlText w:val=""/>
      <w:lvlJc w:val="left"/>
      <w:pPr>
        <w:ind w:left="720" w:hanging="360"/>
      </w:pPr>
      <w:rPr>
        <w:rFonts w:ascii="Symbol" w:hAnsi="Symbol" w:hint="default"/>
      </w:rPr>
    </w:lvl>
    <w:lvl w:ilvl="1" w:tplc="9B465A94">
      <w:start w:val="1"/>
      <w:numFmt w:val="bullet"/>
      <w:lvlText w:val="o"/>
      <w:lvlJc w:val="left"/>
      <w:pPr>
        <w:ind w:left="1440" w:hanging="360"/>
      </w:pPr>
      <w:rPr>
        <w:rFonts w:ascii="Courier New" w:hAnsi="Courier New" w:hint="default"/>
      </w:rPr>
    </w:lvl>
    <w:lvl w:ilvl="2" w:tplc="67DE2CCA">
      <w:start w:val="1"/>
      <w:numFmt w:val="bullet"/>
      <w:lvlText w:val=""/>
      <w:lvlJc w:val="left"/>
      <w:pPr>
        <w:ind w:left="2160" w:hanging="360"/>
      </w:pPr>
      <w:rPr>
        <w:rFonts w:ascii="Wingdings" w:hAnsi="Wingdings" w:hint="default"/>
      </w:rPr>
    </w:lvl>
    <w:lvl w:ilvl="3" w:tplc="883499CE">
      <w:start w:val="1"/>
      <w:numFmt w:val="bullet"/>
      <w:lvlText w:val=""/>
      <w:lvlJc w:val="left"/>
      <w:pPr>
        <w:ind w:left="2880" w:hanging="360"/>
      </w:pPr>
      <w:rPr>
        <w:rFonts w:ascii="Symbol" w:hAnsi="Symbol" w:hint="default"/>
      </w:rPr>
    </w:lvl>
    <w:lvl w:ilvl="4" w:tplc="EDCEAFC4">
      <w:start w:val="1"/>
      <w:numFmt w:val="bullet"/>
      <w:lvlText w:val="o"/>
      <w:lvlJc w:val="left"/>
      <w:pPr>
        <w:ind w:left="3600" w:hanging="360"/>
      </w:pPr>
      <w:rPr>
        <w:rFonts w:ascii="Courier New" w:hAnsi="Courier New" w:hint="default"/>
      </w:rPr>
    </w:lvl>
    <w:lvl w:ilvl="5" w:tplc="5F9C7244">
      <w:start w:val="1"/>
      <w:numFmt w:val="bullet"/>
      <w:lvlText w:val=""/>
      <w:lvlJc w:val="left"/>
      <w:pPr>
        <w:ind w:left="4320" w:hanging="360"/>
      </w:pPr>
      <w:rPr>
        <w:rFonts w:ascii="Wingdings" w:hAnsi="Wingdings" w:hint="default"/>
      </w:rPr>
    </w:lvl>
    <w:lvl w:ilvl="6" w:tplc="0E4616B6">
      <w:start w:val="1"/>
      <w:numFmt w:val="bullet"/>
      <w:lvlText w:val=""/>
      <w:lvlJc w:val="left"/>
      <w:pPr>
        <w:ind w:left="5040" w:hanging="360"/>
      </w:pPr>
      <w:rPr>
        <w:rFonts w:ascii="Symbol" w:hAnsi="Symbol" w:hint="default"/>
      </w:rPr>
    </w:lvl>
    <w:lvl w:ilvl="7" w:tplc="C694D164">
      <w:start w:val="1"/>
      <w:numFmt w:val="bullet"/>
      <w:lvlText w:val="o"/>
      <w:lvlJc w:val="left"/>
      <w:pPr>
        <w:ind w:left="5760" w:hanging="360"/>
      </w:pPr>
      <w:rPr>
        <w:rFonts w:ascii="Courier New" w:hAnsi="Courier New" w:hint="default"/>
      </w:rPr>
    </w:lvl>
    <w:lvl w:ilvl="8" w:tplc="61DA83B8">
      <w:start w:val="1"/>
      <w:numFmt w:val="bullet"/>
      <w:lvlText w:val=""/>
      <w:lvlJc w:val="left"/>
      <w:pPr>
        <w:ind w:left="6480" w:hanging="360"/>
      </w:pPr>
      <w:rPr>
        <w:rFonts w:ascii="Wingdings" w:hAnsi="Wingdings" w:hint="default"/>
      </w:rPr>
    </w:lvl>
  </w:abstractNum>
  <w:abstractNum w:abstractNumId="4" w15:restartNumberingAfterBreak="0">
    <w:nsid w:val="48773800"/>
    <w:multiLevelType w:val="hybridMultilevel"/>
    <w:tmpl w:val="763AF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668EB"/>
    <w:multiLevelType w:val="hybridMultilevel"/>
    <w:tmpl w:val="8D78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B0A67"/>
    <w:multiLevelType w:val="hybridMultilevel"/>
    <w:tmpl w:val="63BE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71828">
    <w:abstractNumId w:val="3"/>
  </w:num>
  <w:num w:numId="2" w16cid:durableId="1115171237">
    <w:abstractNumId w:val="0"/>
  </w:num>
  <w:num w:numId="3" w16cid:durableId="1774395552">
    <w:abstractNumId w:val="2"/>
  </w:num>
  <w:num w:numId="4" w16cid:durableId="1391151766">
    <w:abstractNumId w:val="4"/>
  </w:num>
  <w:num w:numId="5" w16cid:durableId="1596402925">
    <w:abstractNumId w:val="1"/>
  </w:num>
  <w:num w:numId="6" w16cid:durableId="1227567510">
    <w:abstractNumId w:val="6"/>
  </w:num>
  <w:num w:numId="7" w16cid:durableId="55858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BB"/>
    <w:rsid w:val="000126E5"/>
    <w:rsid w:val="00015869"/>
    <w:rsid w:val="0003066B"/>
    <w:rsid w:val="00042FE8"/>
    <w:rsid w:val="00054073"/>
    <w:rsid w:val="00055156"/>
    <w:rsid w:val="00070FFD"/>
    <w:rsid w:val="00077806"/>
    <w:rsid w:val="00093BDE"/>
    <w:rsid w:val="00096E07"/>
    <w:rsid w:val="000A126B"/>
    <w:rsid w:val="000C74F8"/>
    <w:rsid w:val="000D3625"/>
    <w:rsid w:val="000D70BB"/>
    <w:rsid w:val="000F5672"/>
    <w:rsid w:val="00104953"/>
    <w:rsid w:val="00105A6D"/>
    <w:rsid w:val="001244CC"/>
    <w:rsid w:val="00136B1D"/>
    <w:rsid w:val="001506F6"/>
    <w:rsid w:val="00151ABF"/>
    <w:rsid w:val="0015313C"/>
    <w:rsid w:val="00162D5E"/>
    <w:rsid w:val="00171324"/>
    <w:rsid w:val="00186604"/>
    <w:rsid w:val="001C6D21"/>
    <w:rsid w:val="001E5D04"/>
    <w:rsid w:val="00227D0C"/>
    <w:rsid w:val="00233CCE"/>
    <w:rsid w:val="002366B7"/>
    <w:rsid w:val="00241248"/>
    <w:rsid w:val="002652E9"/>
    <w:rsid w:val="0027198A"/>
    <w:rsid w:val="00281615"/>
    <w:rsid w:val="002C1BB2"/>
    <w:rsid w:val="002E6806"/>
    <w:rsid w:val="002F4E9A"/>
    <w:rsid w:val="00310EDB"/>
    <w:rsid w:val="003149C2"/>
    <w:rsid w:val="00323F18"/>
    <w:rsid w:val="00326A78"/>
    <w:rsid w:val="003462A1"/>
    <w:rsid w:val="00356330"/>
    <w:rsid w:val="0038666D"/>
    <w:rsid w:val="0039265F"/>
    <w:rsid w:val="00413008"/>
    <w:rsid w:val="0041665B"/>
    <w:rsid w:val="00441DFB"/>
    <w:rsid w:val="00446473"/>
    <w:rsid w:val="004522D1"/>
    <w:rsid w:val="00452765"/>
    <w:rsid w:val="004704A5"/>
    <w:rsid w:val="004A50FA"/>
    <w:rsid w:val="004C3C3C"/>
    <w:rsid w:val="004D2E7F"/>
    <w:rsid w:val="004E3DF2"/>
    <w:rsid w:val="004E7F9C"/>
    <w:rsid w:val="0051400D"/>
    <w:rsid w:val="005425D5"/>
    <w:rsid w:val="00554D03"/>
    <w:rsid w:val="0058690B"/>
    <w:rsid w:val="005A46B9"/>
    <w:rsid w:val="005B4D71"/>
    <w:rsid w:val="005C3D84"/>
    <w:rsid w:val="005D2740"/>
    <w:rsid w:val="005D490C"/>
    <w:rsid w:val="005D5D02"/>
    <w:rsid w:val="005E401C"/>
    <w:rsid w:val="005F4E2F"/>
    <w:rsid w:val="00611129"/>
    <w:rsid w:val="0062269D"/>
    <w:rsid w:val="00635383"/>
    <w:rsid w:val="00636AC8"/>
    <w:rsid w:val="00641B6C"/>
    <w:rsid w:val="006478E5"/>
    <w:rsid w:val="0065314D"/>
    <w:rsid w:val="00680262"/>
    <w:rsid w:val="006927C0"/>
    <w:rsid w:val="006B538E"/>
    <w:rsid w:val="006C2BC0"/>
    <w:rsid w:val="006C4F52"/>
    <w:rsid w:val="006C66E2"/>
    <w:rsid w:val="006E2DB4"/>
    <w:rsid w:val="006F3AC2"/>
    <w:rsid w:val="006F5490"/>
    <w:rsid w:val="007317CF"/>
    <w:rsid w:val="00783FBC"/>
    <w:rsid w:val="007A6384"/>
    <w:rsid w:val="007B1BC2"/>
    <w:rsid w:val="007D6AF0"/>
    <w:rsid w:val="007F3C59"/>
    <w:rsid w:val="008140D2"/>
    <w:rsid w:val="00816D4E"/>
    <w:rsid w:val="008225D9"/>
    <w:rsid w:val="00830DBD"/>
    <w:rsid w:val="00835596"/>
    <w:rsid w:val="00836B38"/>
    <w:rsid w:val="00860843"/>
    <w:rsid w:val="008630F8"/>
    <w:rsid w:val="00872D41"/>
    <w:rsid w:val="00884F3A"/>
    <w:rsid w:val="00890FF4"/>
    <w:rsid w:val="0089321C"/>
    <w:rsid w:val="008B26CD"/>
    <w:rsid w:val="008B7FF3"/>
    <w:rsid w:val="008E2154"/>
    <w:rsid w:val="008E7311"/>
    <w:rsid w:val="00923AE8"/>
    <w:rsid w:val="00930C69"/>
    <w:rsid w:val="00942772"/>
    <w:rsid w:val="0097173E"/>
    <w:rsid w:val="00972CF6"/>
    <w:rsid w:val="00974976"/>
    <w:rsid w:val="009A17CC"/>
    <w:rsid w:val="009A42A6"/>
    <w:rsid w:val="009A6873"/>
    <w:rsid w:val="009C38C5"/>
    <w:rsid w:val="009F5CB7"/>
    <w:rsid w:val="00A03B20"/>
    <w:rsid w:val="00A05050"/>
    <w:rsid w:val="00A54D03"/>
    <w:rsid w:val="00A8318D"/>
    <w:rsid w:val="00AA16C0"/>
    <w:rsid w:val="00AA6344"/>
    <w:rsid w:val="00AB685E"/>
    <w:rsid w:val="00AD141D"/>
    <w:rsid w:val="00AE5AF7"/>
    <w:rsid w:val="00B001DA"/>
    <w:rsid w:val="00B06FA4"/>
    <w:rsid w:val="00B13091"/>
    <w:rsid w:val="00B271D3"/>
    <w:rsid w:val="00B3269A"/>
    <w:rsid w:val="00B408B1"/>
    <w:rsid w:val="00B427BB"/>
    <w:rsid w:val="00B66800"/>
    <w:rsid w:val="00B827B4"/>
    <w:rsid w:val="00B96B4D"/>
    <w:rsid w:val="00BB3F92"/>
    <w:rsid w:val="00BB7384"/>
    <w:rsid w:val="00C02913"/>
    <w:rsid w:val="00C16E0B"/>
    <w:rsid w:val="00C56727"/>
    <w:rsid w:val="00C71B73"/>
    <w:rsid w:val="00CA2EF4"/>
    <w:rsid w:val="00CA47B5"/>
    <w:rsid w:val="00CC4151"/>
    <w:rsid w:val="00CE0894"/>
    <w:rsid w:val="00CE4168"/>
    <w:rsid w:val="00D1482F"/>
    <w:rsid w:val="00D14F23"/>
    <w:rsid w:val="00D5451D"/>
    <w:rsid w:val="00D97940"/>
    <w:rsid w:val="00DC6997"/>
    <w:rsid w:val="00DE09A4"/>
    <w:rsid w:val="00DF7C5D"/>
    <w:rsid w:val="00E11F2E"/>
    <w:rsid w:val="00E150F1"/>
    <w:rsid w:val="00E51693"/>
    <w:rsid w:val="00E73AE0"/>
    <w:rsid w:val="00E85C5E"/>
    <w:rsid w:val="00EA50EE"/>
    <w:rsid w:val="00EA620F"/>
    <w:rsid w:val="00F00D5E"/>
    <w:rsid w:val="00F07394"/>
    <w:rsid w:val="00F14172"/>
    <w:rsid w:val="00F16C6F"/>
    <w:rsid w:val="00F61C4E"/>
    <w:rsid w:val="00F75614"/>
    <w:rsid w:val="00F828AC"/>
    <w:rsid w:val="00F93BBF"/>
    <w:rsid w:val="00F95BEB"/>
    <w:rsid w:val="00F977ED"/>
    <w:rsid w:val="00FA40EA"/>
    <w:rsid w:val="00FB67C7"/>
    <w:rsid w:val="00FB6947"/>
    <w:rsid w:val="00FD222F"/>
    <w:rsid w:val="00FD508A"/>
    <w:rsid w:val="031C9342"/>
    <w:rsid w:val="09F6DF52"/>
    <w:rsid w:val="0B63DD5C"/>
    <w:rsid w:val="0E1E28DE"/>
    <w:rsid w:val="12E05A93"/>
    <w:rsid w:val="1C163D3B"/>
    <w:rsid w:val="1DF1EFC2"/>
    <w:rsid w:val="2CFB3D69"/>
    <w:rsid w:val="408CBC4C"/>
    <w:rsid w:val="441F0537"/>
    <w:rsid w:val="59E70121"/>
    <w:rsid w:val="6F456D6C"/>
    <w:rsid w:val="750CE8ED"/>
    <w:rsid w:val="75D1039B"/>
    <w:rsid w:val="781B99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719"/>
  <w15:chartTrackingRefBased/>
  <w15:docId w15:val="{0FD4CE65-05EB-4001-9497-88761AB0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BB"/>
    <w:pPr>
      <w:spacing w:after="0" w:line="240" w:lineRule="auto"/>
      <w:ind w:left="720"/>
      <w:contextualSpacing/>
    </w:pPr>
    <w:rPr>
      <w:rFonts w:ascii="Calibri" w:eastAsia="Calibri" w:hAnsi="Calibri" w:cs="Times New Roman"/>
    </w:rPr>
  </w:style>
  <w:style w:type="paragraph" w:styleId="NormalWeb">
    <w:name w:val="Normal (Web)"/>
    <w:basedOn w:val="Normal"/>
    <w:uiPriority w:val="99"/>
    <w:unhideWhenUsed/>
    <w:rsid w:val="00B42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740"/>
  </w:style>
  <w:style w:type="paragraph" w:styleId="Footer">
    <w:name w:val="footer"/>
    <w:basedOn w:val="Normal"/>
    <w:link w:val="FooterChar"/>
    <w:uiPriority w:val="99"/>
    <w:unhideWhenUsed/>
    <w:rsid w:val="005D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740"/>
  </w:style>
  <w:style w:type="character" w:styleId="Hyperlink">
    <w:name w:val="Hyperlink"/>
    <w:basedOn w:val="DefaultParagraphFont"/>
    <w:uiPriority w:val="99"/>
    <w:semiHidden/>
    <w:unhideWhenUsed/>
    <w:rsid w:val="0038666D"/>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60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tonuniversity.sharepoint.com/sites/Comm-academic-council/SitePages/Meetings-Hom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1BB989D-F74A-49E0-B2AC-368E0EAA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92C17-35C0-43B7-A804-A593A1461E06}">
  <ds:schemaRefs>
    <ds:schemaRef ds:uri="http://schemas.microsoft.com/sharepoint/v3/contenttype/forms"/>
  </ds:schemaRefs>
</ds:datastoreItem>
</file>

<file path=customXml/itemProps3.xml><?xml version="1.0" encoding="utf-8"?>
<ds:datastoreItem xmlns:ds="http://schemas.openxmlformats.org/officeDocument/2006/customXml" ds:itemID="{4D7281AE-6CD8-4AD7-B87C-4C68331E26B3}">
  <ds:schemaRefs>
    <ds:schemaRef ds:uri="http://schemas.openxmlformats.org/officeDocument/2006/bibliography"/>
  </ds:schemaRefs>
</ds:datastoreItem>
</file>

<file path=customXml/itemProps4.xml><?xml version="1.0" encoding="utf-8"?>
<ds:datastoreItem xmlns:ds="http://schemas.openxmlformats.org/officeDocument/2006/customXml" ds:itemID="{B4A0FAC5-6AE4-4532-86F5-FF8CAC481C89}">
  <ds:schemaRefs>
    <ds:schemaRef ds:uri="http://schemas.microsoft.com/office/2006/documentManagement/types"/>
    <ds:schemaRef ds:uri="http://purl.org/dc/terms/"/>
    <ds:schemaRef ds:uri="http://www.w3.org/XML/1998/namespace"/>
    <ds:schemaRef ds:uri="http://schemas.microsoft.com/office/infopath/2007/PartnerControls"/>
    <ds:schemaRef ds:uri="3949bc56-6107-4a37-a900-858857adfede"/>
    <ds:schemaRef ds:uri="http://purl.org/dc/dcmitype/"/>
    <ds:schemaRef ds:uri="http://purl.org/dc/elements/1.1/"/>
    <ds:schemaRef ds:uri="http://schemas.openxmlformats.org/package/2006/metadata/core-properties"/>
    <ds:schemaRef ds:uri="cca6b130-34ce-479a-80ad-5918b2c7d9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4480</Characters>
  <Application>Microsoft Office Word</Application>
  <DocSecurity>0</DocSecurity>
  <Lines>131</Lines>
  <Paragraphs>70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Firth, Mike</cp:lastModifiedBy>
  <cp:revision>82</cp:revision>
  <dcterms:created xsi:type="dcterms:W3CDTF">2024-05-10T16:42:00Z</dcterms:created>
  <dcterms:modified xsi:type="dcterms:W3CDTF">2026-03-09T09:29:00Z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2024-05-10T08:42:48Z</vt:lpwstr>
  </property>
  <property fmtid="{D5CDD505-2E9C-101B-9397-08002B2CF9AE}" pid="6" name="MSIP_Label_55e1b534-098f-4ac8-9223-69712ddf82de_Method">
    <vt:lpwstr>Standard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1e2b9019-01a7-4bcc-a27d-da6ebbf9e8e4</vt:lpwstr>
  </property>
  <property fmtid="{D5CDD505-2E9C-101B-9397-08002B2CF9AE}" pid="10" name="MSIP_Label_55e1b534-098f-4ac8-9223-69712ddf82de_ContentBits">
    <vt:lpwstr>0</vt:lpwstr>
  </property>
</Properties>
</file>