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D92AF" w14:textId="77777777" w:rsidR="003C3DB5" w:rsidRPr="000076A9" w:rsidRDefault="003C3DB5" w:rsidP="00113322">
      <w:pPr>
        <w:jc w:val="center"/>
        <w:rPr>
          <w:b/>
          <w:bCs/>
          <w:snapToGrid/>
          <w:sz w:val="32"/>
          <w:szCs w:val="32"/>
        </w:rPr>
      </w:pPr>
      <w:bookmarkStart w:id="0" w:name="_Toc103775660"/>
      <w:bookmarkStart w:id="1" w:name="_Toc103775785"/>
      <w:bookmarkStart w:id="2" w:name="_Toc103775826"/>
      <w:r w:rsidRPr="000076A9">
        <w:rPr>
          <w:b/>
          <w:bCs/>
          <w:snapToGrid/>
          <w:sz w:val="32"/>
          <w:szCs w:val="32"/>
        </w:rPr>
        <w:t>Guidance IG(vi)</w:t>
      </w:r>
      <w:bookmarkEnd w:id="0"/>
      <w:bookmarkEnd w:id="1"/>
      <w:bookmarkEnd w:id="2"/>
    </w:p>
    <w:p w14:paraId="46DB697F" w14:textId="77777777" w:rsidR="00191E37" w:rsidRPr="000076A9" w:rsidRDefault="00191E37" w:rsidP="00113322">
      <w:pPr>
        <w:jc w:val="center"/>
        <w:rPr>
          <w:b/>
          <w:bCs/>
          <w:snapToGrid/>
          <w:sz w:val="32"/>
          <w:szCs w:val="32"/>
        </w:rPr>
      </w:pPr>
    </w:p>
    <w:p w14:paraId="2E913EAF" w14:textId="77777777" w:rsidR="0029108B" w:rsidRPr="000076A9" w:rsidRDefault="0046369F" w:rsidP="00B047F4">
      <w:pPr>
        <w:pStyle w:val="Heading2"/>
        <w:spacing w:line="240" w:lineRule="auto"/>
        <w:jc w:val="center"/>
        <w:rPr>
          <w:szCs w:val="32"/>
          <w:lang w:val="en-GB"/>
        </w:rPr>
      </w:pPr>
      <w:bookmarkStart w:id="3" w:name="_Toc103775661"/>
      <w:bookmarkStart w:id="4" w:name="_Toc103775786"/>
      <w:bookmarkStart w:id="5" w:name="_Toc103775827"/>
      <w:r w:rsidRPr="000076A9">
        <w:rPr>
          <w:szCs w:val="32"/>
          <w:lang w:val="en-GB"/>
        </w:rPr>
        <w:t xml:space="preserve">Rights and Responsibilities of </w:t>
      </w:r>
      <w:r w:rsidR="00176D51" w:rsidRPr="000076A9">
        <w:rPr>
          <w:szCs w:val="32"/>
          <w:lang w:val="en-GB"/>
        </w:rPr>
        <w:t xml:space="preserve">Higher and Degree </w:t>
      </w:r>
      <w:r w:rsidR="00176D51" w:rsidRPr="000076A9">
        <w:rPr>
          <w:szCs w:val="32"/>
        </w:rPr>
        <w:t xml:space="preserve">Apprenticeship (HDA) </w:t>
      </w:r>
      <w:r w:rsidR="00621682" w:rsidRPr="000076A9">
        <w:rPr>
          <w:szCs w:val="32"/>
        </w:rPr>
        <w:t>External Examiner</w:t>
      </w:r>
      <w:bookmarkEnd w:id="3"/>
      <w:bookmarkEnd w:id="4"/>
      <w:bookmarkEnd w:id="5"/>
    </w:p>
    <w:p w14:paraId="0FBBC534" w14:textId="77777777" w:rsidR="00191E37" w:rsidRPr="003E6319" w:rsidRDefault="00191E37" w:rsidP="00113322">
      <w:pPr>
        <w:rPr>
          <w:sz w:val="28"/>
          <w:szCs w:val="28"/>
        </w:rPr>
      </w:pPr>
    </w:p>
    <w:p w14:paraId="33237826" w14:textId="72C52224" w:rsidR="00191E37" w:rsidRPr="003E6319" w:rsidRDefault="0029108B" w:rsidP="00113322">
      <w:pPr>
        <w:jc w:val="center"/>
        <w:rPr>
          <w:b/>
          <w:bCs/>
          <w:snapToGrid/>
          <w:sz w:val="28"/>
          <w:szCs w:val="28"/>
        </w:rPr>
      </w:pPr>
      <w:r w:rsidRPr="003E6319">
        <w:rPr>
          <w:b/>
          <w:bCs/>
          <w:snapToGrid/>
          <w:sz w:val="28"/>
          <w:szCs w:val="28"/>
        </w:rPr>
        <w:t>Contents</w:t>
      </w:r>
    </w:p>
    <w:p w14:paraId="1854FF50" w14:textId="77777777" w:rsidR="00191E37" w:rsidRPr="00191E37" w:rsidRDefault="00191E37" w:rsidP="00113322">
      <w:pPr>
        <w:jc w:val="center"/>
        <w:rPr>
          <w:b/>
          <w:bCs/>
          <w:snapToGrid/>
          <w:sz w:val="32"/>
          <w:szCs w:val="32"/>
        </w:rPr>
      </w:pPr>
    </w:p>
    <w:p w14:paraId="76182DD3" w14:textId="2DC8D6F0" w:rsidR="00191E37" w:rsidRDefault="0029108B" w:rsidP="00113322">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r>
        <w:rPr>
          <w:iCs/>
          <w:sz w:val="32"/>
          <w:szCs w:val="28"/>
        </w:rPr>
        <w:fldChar w:fldCharType="begin"/>
      </w:r>
      <w:r>
        <w:instrText xml:space="preserve"> TOC \o "1-3" \h \z \u </w:instrText>
      </w:r>
      <w:r>
        <w:rPr>
          <w:iCs/>
          <w:sz w:val="32"/>
          <w:szCs w:val="28"/>
        </w:rPr>
        <w:fldChar w:fldCharType="separate"/>
      </w:r>
      <w:hyperlink w:anchor="_Toc142413458" w:history="1">
        <w:r w:rsidR="00191E37" w:rsidRPr="00C44648">
          <w:rPr>
            <w:rStyle w:val="Hyperlink"/>
            <w:noProof/>
            <w:lang w:val="en-GB"/>
          </w:rPr>
          <w:t>Role of the Higher and Degree Apprenticeship (HDA) External Examiner</w:t>
        </w:r>
        <w:r w:rsidR="00191E37">
          <w:rPr>
            <w:noProof/>
            <w:webHidden/>
          </w:rPr>
          <w:tab/>
        </w:r>
        <w:r w:rsidR="00191E37">
          <w:rPr>
            <w:noProof/>
            <w:webHidden/>
          </w:rPr>
          <w:fldChar w:fldCharType="begin"/>
        </w:r>
        <w:r w:rsidR="00191E37">
          <w:rPr>
            <w:noProof/>
            <w:webHidden/>
          </w:rPr>
          <w:instrText xml:space="preserve"> PAGEREF _Toc142413458 \h </w:instrText>
        </w:r>
        <w:r w:rsidR="00191E37">
          <w:rPr>
            <w:noProof/>
            <w:webHidden/>
          </w:rPr>
        </w:r>
        <w:r w:rsidR="00191E37">
          <w:rPr>
            <w:noProof/>
            <w:webHidden/>
          </w:rPr>
          <w:fldChar w:fldCharType="separate"/>
        </w:r>
        <w:r w:rsidR="00191E37">
          <w:rPr>
            <w:noProof/>
            <w:webHidden/>
          </w:rPr>
          <w:t>1</w:t>
        </w:r>
        <w:r w:rsidR="00191E37">
          <w:rPr>
            <w:noProof/>
            <w:webHidden/>
          </w:rPr>
          <w:fldChar w:fldCharType="end"/>
        </w:r>
      </w:hyperlink>
    </w:p>
    <w:p w14:paraId="18A2DDA2" w14:textId="07647D7C" w:rsidR="00191E37" w:rsidRDefault="00191E37" w:rsidP="00113322">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42413459" w:history="1">
        <w:r w:rsidRPr="00C44648">
          <w:rPr>
            <w:rStyle w:val="Hyperlink"/>
            <w:noProof/>
            <w:lang w:val="en-GB"/>
          </w:rPr>
          <w:t>Apprenticeship Monitoring Committee (AMC)</w:t>
        </w:r>
        <w:r>
          <w:rPr>
            <w:noProof/>
            <w:webHidden/>
          </w:rPr>
          <w:tab/>
        </w:r>
        <w:r>
          <w:rPr>
            <w:noProof/>
            <w:webHidden/>
          </w:rPr>
          <w:fldChar w:fldCharType="begin"/>
        </w:r>
        <w:r>
          <w:rPr>
            <w:noProof/>
            <w:webHidden/>
          </w:rPr>
          <w:instrText xml:space="preserve"> PAGEREF _Toc142413459 \h </w:instrText>
        </w:r>
        <w:r>
          <w:rPr>
            <w:noProof/>
            <w:webHidden/>
          </w:rPr>
        </w:r>
        <w:r>
          <w:rPr>
            <w:noProof/>
            <w:webHidden/>
          </w:rPr>
          <w:fldChar w:fldCharType="separate"/>
        </w:r>
        <w:r>
          <w:rPr>
            <w:noProof/>
            <w:webHidden/>
          </w:rPr>
          <w:t>1</w:t>
        </w:r>
        <w:r>
          <w:rPr>
            <w:noProof/>
            <w:webHidden/>
          </w:rPr>
          <w:fldChar w:fldCharType="end"/>
        </w:r>
      </w:hyperlink>
    </w:p>
    <w:p w14:paraId="3B1D4B92" w14:textId="3B1B3DAA" w:rsidR="00191E37" w:rsidRDefault="00191E37" w:rsidP="00113322">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42413460" w:history="1">
        <w:r w:rsidRPr="00C44648">
          <w:rPr>
            <w:rStyle w:val="Hyperlink"/>
            <w:noProof/>
            <w:lang w:val="en-GB"/>
          </w:rPr>
          <w:t>Verification of the recommendations made at AMC meetings</w:t>
        </w:r>
        <w:r>
          <w:rPr>
            <w:noProof/>
            <w:webHidden/>
          </w:rPr>
          <w:tab/>
        </w:r>
        <w:r>
          <w:rPr>
            <w:noProof/>
            <w:webHidden/>
          </w:rPr>
          <w:fldChar w:fldCharType="begin"/>
        </w:r>
        <w:r>
          <w:rPr>
            <w:noProof/>
            <w:webHidden/>
          </w:rPr>
          <w:instrText xml:space="preserve"> PAGEREF _Toc142413460 \h </w:instrText>
        </w:r>
        <w:r>
          <w:rPr>
            <w:noProof/>
            <w:webHidden/>
          </w:rPr>
        </w:r>
        <w:r>
          <w:rPr>
            <w:noProof/>
            <w:webHidden/>
          </w:rPr>
          <w:fldChar w:fldCharType="separate"/>
        </w:r>
        <w:r>
          <w:rPr>
            <w:noProof/>
            <w:webHidden/>
          </w:rPr>
          <w:t>2</w:t>
        </w:r>
        <w:r>
          <w:rPr>
            <w:noProof/>
            <w:webHidden/>
          </w:rPr>
          <w:fldChar w:fldCharType="end"/>
        </w:r>
      </w:hyperlink>
    </w:p>
    <w:p w14:paraId="6DE8F0F6" w14:textId="403A1BD8" w:rsidR="00191E37" w:rsidRDefault="00191E37" w:rsidP="00113322">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42413461" w:history="1">
        <w:r w:rsidRPr="00C44648">
          <w:rPr>
            <w:rStyle w:val="Hyperlink"/>
            <w:noProof/>
          </w:rPr>
          <w:t>Visits to apprentices at employer organisations</w:t>
        </w:r>
        <w:r>
          <w:rPr>
            <w:noProof/>
            <w:webHidden/>
          </w:rPr>
          <w:tab/>
        </w:r>
        <w:r>
          <w:rPr>
            <w:noProof/>
            <w:webHidden/>
          </w:rPr>
          <w:fldChar w:fldCharType="begin"/>
        </w:r>
        <w:r>
          <w:rPr>
            <w:noProof/>
            <w:webHidden/>
          </w:rPr>
          <w:instrText xml:space="preserve"> PAGEREF _Toc142413461 \h </w:instrText>
        </w:r>
        <w:r>
          <w:rPr>
            <w:noProof/>
            <w:webHidden/>
          </w:rPr>
        </w:r>
        <w:r>
          <w:rPr>
            <w:noProof/>
            <w:webHidden/>
          </w:rPr>
          <w:fldChar w:fldCharType="separate"/>
        </w:r>
        <w:r>
          <w:rPr>
            <w:noProof/>
            <w:webHidden/>
          </w:rPr>
          <w:t>2</w:t>
        </w:r>
        <w:r>
          <w:rPr>
            <w:noProof/>
            <w:webHidden/>
          </w:rPr>
          <w:fldChar w:fldCharType="end"/>
        </w:r>
      </w:hyperlink>
    </w:p>
    <w:p w14:paraId="1C70EDCD" w14:textId="747F2511" w:rsidR="00191E37" w:rsidRDefault="00191E37" w:rsidP="00113322">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42413462" w:history="1">
        <w:r w:rsidRPr="00C44648">
          <w:rPr>
            <w:rStyle w:val="Hyperlink"/>
            <w:noProof/>
            <w:lang w:val="en-GB"/>
          </w:rPr>
          <w:t>External examiners’ annual reports</w:t>
        </w:r>
        <w:r>
          <w:rPr>
            <w:noProof/>
            <w:webHidden/>
          </w:rPr>
          <w:tab/>
        </w:r>
        <w:r>
          <w:rPr>
            <w:noProof/>
            <w:webHidden/>
          </w:rPr>
          <w:fldChar w:fldCharType="begin"/>
        </w:r>
        <w:r>
          <w:rPr>
            <w:noProof/>
            <w:webHidden/>
          </w:rPr>
          <w:instrText xml:space="preserve"> PAGEREF _Toc142413462 \h </w:instrText>
        </w:r>
        <w:r>
          <w:rPr>
            <w:noProof/>
            <w:webHidden/>
          </w:rPr>
        </w:r>
        <w:r>
          <w:rPr>
            <w:noProof/>
            <w:webHidden/>
          </w:rPr>
          <w:fldChar w:fldCharType="separate"/>
        </w:r>
        <w:r>
          <w:rPr>
            <w:noProof/>
            <w:webHidden/>
          </w:rPr>
          <w:t>2</w:t>
        </w:r>
        <w:r>
          <w:rPr>
            <w:noProof/>
            <w:webHidden/>
          </w:rPr>
          <w:fldChar w:fldCharType="end"/>
        </w:r>
      </w:hyperlink>
    </w:p>
    <w:p w14:paraId="335FA29F" w14:textId="45BE4EB7" w:rsidR="00191E37" w:rsidRDefault="00191E37" w:rsidP="00113322">
      <w:pPr>
        <w:pStyle w:val="TOC2"/>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42413463" w:history="1">
        <w:r w:rsidRPr="00C44648">
          <w:rPr>
            <w:rStyle w:val="Hyperlink"/>
            <w:noProof/>
            <w:lang w:val="en-GB"/>
          </w:rPr>
          <w:t>Data protection, freedom of information and copyright</w:t>
        </w:r>
        <w:r>
          <w:rPr>
            <w:noProof/>
            <w:webHidden/>
          </w:rPr>
          <w:tab/>
        </w:r>
        <w:r>
          <w:rPr>
            <w:noProof/>
            <w:webHidden/>
          </w:rPr>
          <w:fldChar w:fldCharType="begin"/>
        </w:r>
        <w:r>
          <w:rPr>
            <w:noProof/>
            <w:webHidden/>
          </w:rPr>
          <w:instrText xml:space="preserve"> PAGEREF _Toc142413463 \h </w:instrText>
        </w:r>
        <w:r>
          <w:rPr>
            <w:noProof/>
            <w:webHidden/>
          </w:rPr>
        </w:r>
        <w:r>
          <w:rPr>
            <w:noProof/>
            <w:webHidden/>
          </w:rPr>
          <w:fldChar w:fldCharType="separate"/>
        </w:r>
        <w:r>
          <w:rPr>
            <w:noProof/>
            <w:webHidden/>
          </w:rPr>
          <w:t>3</w:t>
        </w:r>
        <w:r>
          <w:rPr>
            <w:noProof/>
            <w:webHidden/>
          </w:rPr>
          <w:fldChar w:fldCharType="end"/>
        </w:r>
      </w:hyperlink>
    </w:p>
    <w:p w14:paraId="10D4C4F4" w14:textId="5A167676" w:rsidR="00D219DA" w:rsidRPr="00472A94" w:rsidRDefault="0029108B" w:rsidP="00113322">
      <w:pPr>
        <w:rPr>
          <w:b/>
          <w:bCs/>
          <w:noProof/>
        </w:rPr>
      </w:pPr>
      <w:r>
        <w:rPr>
          <w:b/>
          <w:bCs/>
          <w:noProof/>
        </w:rPr>
        <w:fldChar w:fldCharType="end"/>
      </w:r>
      <w:r w:rsidR="0046369F" w:rsidRPr="007110B4">
        <w:rPr>
          <w:lang w:val="en-GB"/>
        </w:rPr>
        <w:fldChar w:fldCharType="begin"/>
      </w:r>
      <w:r w:rsidR="0046369F" w:rsidRPr="00176D51">
        <w:rPr>
          <w:lang w:val="en-GB"/>
        </w:rPr>
        <w:instrText xml:space="preserve"> XE "</w:instrText>
      </w:r>
      <w:r w:rsidR="0046369F" w:rsidRPr="007110B4">
        <w:rPr>
          <w:lang w:val="en-GB"/>
        </w:rPr>
        <w:instrText>External Examiners:</w:instrText>
      </w:r>
      <w:r w:rsidR="0046369F" w:rsidRPr="00176D51">
        <w:rPr>
          <w:lang w:val="en-GB"/>
        </w:rPr>
        <w:instrText xml:space="preserve">EE" </w:instrText>
      </w:r>
      <w:r w:rsidR="0046369F" w:rsidRPr="007110B4">
        <w:rPr>
          <w:lang w:val="en-GB"/>
        </w:rPr>
        <w:fldChar w:fldCharType="end"/>
      </w:r>
    </w:p>
    <w:p w14:paraId="082BDDDC" w14:textId="652B1A66" w:rsidR="00113322" w:rsidRPr="004F7E4E" w:rsidRDefault="000F5A08" w:rsidP="004F7E4E">
      <w:pPr>
        <w:pStyle w:val="Heading2"/>
        <w:spacing w:line="240" w:lineRule="auto"/>
      </w:pPr>
      <w:bookmarkStart w:id="6" w:name="_Toc142413458"/>
      <w:r w:rsidRPr="00961832">
        <w:t xml:space="preserve">Role of the </w:t>
      </w:r>
      <w:r w:rsidR="00176D51" w:rsidRPr="00961832">
        <w:t xml:space="preserve">Higher and Degree Apprenticeship (HDA) External </w:t>
      </w:r>
      <w:r w:rsidRPr="00961832">
        <w:t>Examiner</w:t>
      </w:r>
      <w:bookmarkEnd w:id="6"/>
      <w:r w:rsidR="002221E0" w:rsidRPr="00961832">
        <w:tab/>
      </w:r>
    </w:p>
    <w:p w14:paraId="53BFA958" w14:textId="25BEC328" w:rsidR="00176D51" w:rsidRDefault="00D93208" w:rsidP="00113322">
      <w:pPr>
        <w:rPr>
          <w:lang w:val="en-GB"/>
        </w:rPr>
      </w:pPr>
      <w:r w:rsidRPr="00D93208">
        <w:rPr>
          <w:lang w:val="en-GB"/>
        </w:rPr>
        <w:t xml:space="preserve">The University appoints </w:t>
      </w:r>
      <w:r w:rsidR="00176D51" w:rsidRPr="00D93208">
        <w:rPr>
          <w:lang w:val="en-GB"/>
        </w:rPr>
        <w:t>HDA</w:t>
      </w:r>
      <w:r w:rsidR="002E7C6E" w:rsidRPr="00D93208">
        <w:rPr>
          <w:lang w:val="en-GB"/>
        </w:rPr>
        <w:t xml:space="preserve"> </w:t>
      </w:r>
      <w:r w:rsidR="00856E0E" w:rsidRPr="00D93208">
        <w:rPr>
          <w:lang w:val="en-GB"/>
        </w:rPr>
        <w:t>external examiners</w:t>
      </w:r>
      <w:r w:rsidR="00176D51" w:rsidRPr="00D93208">
        <w:rPr>
          <w:lang w:val="en-GB"/>
        </w:rPr>
        <w:t xml:space="preserve"> </w:t>
      </w:r>
      <w:r w:rsidR="002E7C6E" w:rsidRPr="00D93208">
        <w:rPr>
          <w:lang w:val="en-GB"/>
        </w:rPr>
        <w:t xml:space="preserve">to </w:t>
      </w:r>
      <w:r w:rsidR="00176D51" w:rsidRPr="00D93208">
        <w:rPr>
          <w:lang w:val="en-GB"/>
        </w:rPr>
        <w:t xml:space="preserve">ensure that the University’s higher and degree apprenticeship provision </w:t>
      </w:r>
      <w:r w:rsidR="00B27D88" w:rsidRPr="00D93208">
        <w:rPr>
          <w:lang w:val="en-GB"/>
        </w:rPr>
        <w:t xml:space="preserve">adheres </w:t>
      </w:r>
      <w:r w:rsidR="00176D51" w:rsidRPr="00D93208">
        <w:rPr>
          <w:lang w:val="en-GB"/>
        </w:rPr>
        <w:t xml:space="preserve">to UK sector agreed </w:t>
      </w:r>
      <w:r w:rsidR="00B27D88" w:rsidRPr="00D93208">
        <w:rPr>
          <w:lang w:val="en-GB"/>
        </w:rPr>
        <w:t>apprenticeship standards and frameworks,</w:t>
      </w:r>
      <w:r w:rsidR="00176D51" w:rsidRPr="00D93208">
        <w:rPr>
          <w:lang w:val="en-GB"/>
        </w:rPr>
        <w:t xml:space="preserve"> and </w:t>
      </w:r>
      <w:r w:rsidR="00B27D88" w:rsidRPr="00D93208">
        <w:rPr>
          <w:lang w:val="en-GB"/>
        </w:rPr>
        <w:t xml:space="preserve">that </w:t>
      </w:r>
      <w:r w:rsidR="00B047F4">
        <w:rPr>
          <w:lang w:val="en-GB"/>
        </w:rPr>
        <w:t xml:space="preserve">it is </w:t>
      </w:r>
      <w:r w:rsidR="00176D51" w:rsidRPr="00D93208">
        <w:rPr>
          <w:lang w:val="en-GB"/>
        </w:rPr>
        <w:t xml:space="preserve">delivered in accordance </w:t>
      </w:r>
      <w:r w:rsidR="00BC3C04">
        <w:rPr>
          <w:lang w:val="en-GB"/>
        </w:rPr>
        <w:t>with</w:t>
      </w:r>
      <w:r w:rsidR="00176D51" w:rsidRPr="00D93208">
        <w:rPr>
          <w:lang w:val="en-GB"/>
        </w:rPr>
        <w:t xml:space="preserve"> the University’s academic policies and </w:t>
      </w:r>
      <w:r w:rsidR="00110D3C" w:rsidRPr="00D93208">
        <w:rPr>
          <w:lang w:val="en-GB"/>
        </w:rPr>
        <w:t>regulations</w:t>
      </w:r>
      <w:r w:rsidR="00176D51" w:rsidRPr="00D93208">
        <w:rPr>
          <w:lang w:val="en-GB"/>
        </w:rPr>
        <w:t xml:space="preserve">, ensuring there is equity of treatment of all apprentices. </w:t>
      </w:r>
    </w:p>
    <w:p w14:paraId="7AD08715" w14:textId="77777777" w:rsidR="00C332AD" w:rsidRPr="00D93208" w:rsidRDefault="00C332AD" w:rsidP="00113322">
      <w:pPr>
        <w:rPr>
          <w:lang w:val="en-GB"/>
        </w:rPr>
      </w:pPr>
    </w:p>
    <w:p w14:paraId="2CDB22F9" w14:textId="544DAA5E" w:rsidR="00176D51" w:rsidRDefault="00176D51" w:rsidP="00113322">
      <w:pPr>
        <w:rPr>
          <w:lang w:val="en-GB"/>
        </w:rPr>
      </w:pPr>
      <w:r w:rsidRPr="00D93208">
        <w:rPr>
          <w:lang w:val="en-GB"/>
        </w:rPr>
        <w:t>HDA external examiners monitor the academic and workplace alignment of the University’s higher and degree apprenticeships and endorse progression to and from</w:t>
      </w:r>
      <w:r w:rsidR="001A162C" w:rsidRPr="00D93208">
        <w:rPr>
          <w:lang w:val="en-GB"/>
        </w:rPr>
        <w:t xml:space="preserve"> gateways leading to</w:t>
      </w:r>
      <w:r w:rsidRPr="00D93208">
        <w:rPr>
          <w:lang w:val="en-GB"/>
        </w:rPr>
        <w:t xml:space="preserve"> End Point Assessments (EPA).</w:t>
      </w:r>
    </w:p>
    <w:p w14:paraId="428DB31D" w14:textId="16FF1096" w:rsidR="00BC3C04" w:rsidRDefault="00BC3C04" w:rsidP="00113322">
      <w:pPr>
        <w:rPr>
          <w:lang w:val="en-GB"/>
        </w:rPr>
      </w:pPr>
    </w:p>
    <w:p w14:paraId="522C07C8" w14:textId="16EF3C46" w:rsidR="00BC3C04" w:rsidRDefault="00BC3C04" w:rsidP="00113322">
      <w:pPr>
        <w:rPr>
          <w:lang w:val="en-GB"/>
        </w:rPr>
      </w:pPr>
      <w:r w:rsidRPr="00D93208">
        <w:rPr>
          <w:lang w:val="en-GB"/>
        </w:rPr>
        <w:t>The role requires the HDA external examiners to attend meetings of the University’s Apprenticeship Monitoring Committee (AMC)</w:t>
      </w:r>
      <w:r>
        <w:rPr>
          <w:lang w:val="en-GB"/>
        </w:rPr>
        <w:t xml:space="preserve">, moderate a sample of tripartite forms and </w:t>
      </w:r>
      <w:r w:rsidRPr="00D93208">
        <w:rPr>
          <w:lang w:val="en-GB"/>
        </w:rPr>
        <w:t xml:space="preserve">visit </w:t>
      </w:r>
      <w:r>
        <w:rPr>
          <w:lang w:val="en-GB"/>
        </w:rPr>
        <w:t xml:space="preserve">a sample of </w:t>
      </w:r>
      <w:r w:rsidRPr="00D93208">
        <w:rPr>
          <w:lang w:val="en-GB"/>
        </w:rPr>
        <w:t>employer institutions that employ KU apprentices.</w:t>
      </w:r>
    </w:p>
    <w:p w14:paraId="6DD96520" w14:textId="77777777" w:rsidR="00C332AD" w:rsidRPr="007C6F57" w:rsidRDefault="00C332AD" w:rsidP="00113322">
      <w:pPr>
        <w:rPr>
          <w:szCs w:val="24"/>
          <w:lang w:val="en-GB"/>
        </w:rPr>
      </w:pPr>
    </w:p>
    <w:p w14:paraId="48095F15" w14:textId="2B2DFA90" w:rsidR="00017494" w:rsidRPr="006A2019" w:rsidRDefault="00017494" w:rsidP="00113322">
      <w:pPr>
        <w:rPr>
          <w:szCs w:val="24"/>
        </w:rPr>
      </w:pPr>
      <w:r w:rsidRPr="007C6F57">
        <w:rPr>
          <w:szCs w:val="24"/>
          <w:lang w:val="en-GB"/>
        </w:rPr>
        <w:t xml:space="preserve">For integrated degree apprenticeship provision, the EPA is conducted as an integrated part of the Kingston University </w:t>
      </w:r>
      <w:r w:rsidR="00192873">
        <w:rPr>
          <w:szCs w:val="24"/>
          <w:lang w:val="en-GB"/>
        </w:rPr>
        <w:t xml:space="preserve">degree </w:t>
      </w:r>
      <w:r w:rsidRPr="007C6F57">
        <w:rPr>
          <w:szCs w:val="24"/>
          <w:lang w:val="en-GB"/>
        </w:rPr>
        <w:t xml:space="preserve">award. </w:t>
      </w:r>
      <w:r w:rsidR="00BC3C04">
        <w:rPr>
          <w:szCs w:val="24"/>
          <w:lang w:val="en-GB"/>
        </w:rPr>
        <w:t xml:space="preserve">Subject </w:t>
      </w:r>
      <w:r w:rsidR="00936904">
        <w:rPr>
          <w:szCs w:val="24"/>
          <w:lang w:val="en-GB"/>
        </w:rPr>
        <w:t>e</w:t>
      </w:r>
      <w:r w:rsidRPr="007C6F57">
        <w:rPr>
          <w:szCs w:val="24"/>
          <w:lang w:val="en-GB"/>
        </w:rPr>
        <w:t xml:space="preserve">xternal </w:t>
      </w:r>
      <w:r w:rsidR="00936904">
        <w:rPr>
          <w:szCs w:val="24"/>
          <w:lang w:val="en-GB"/>
        </w:rPr>
        <w:t>e</w:t>
      </w:r>
      <w:r w:rsidRPr="007C6F57">
        <w:rPr>
          <w:szCs w:val="24"/>
          <w:lang w:val="en-GB"/>
        </w:rPr>
        <w:t xml:space="preserve">xaminers </w:t>
      </w:r>
      <w:r w:rsidRPr="006A2019">
        <w:rPr>
          <w:szCs w:val="24"/>
        </w:rPr>
        <w:t xml:space="preserve">allocated to modules delivered on an integrated </w:t>
      </w:r>
      <w:r w:rsidR="00192873" w:rsidRPr="006A2019">
        <w:rPr>
          <w:szCs w:val="24"/>
        </w:rPr>
        <w:t>HDA</w:t>
      </w:r>
      <w:r w:rsidRPr="006A2019">
        <w:rPr>
          <w:szCs w:val="24"/>
        </w:rPr>
        <w:t xml:space="preserve"> will require experience of teaching and assessing on integrated higher and degree apprenticeship provision.</w:t>
      </w:r>
    </w:p>
    <w:p w14:paraId="2A91762E" w14:textId="77777777" w:rsidR="00017494" w:rsidRPr="006A2019" w:rsidRDefault="00017494" w:rsidP="00113322">
      <w:pPr>
        <w:rPr>
          <w:szCs w:val="24"/>
        </w:rPr>
      </w:pPr>
    </w:p>
    <w:p w14:paraId="296F9C7A" w14:textId="12EBD019" w:rsidR="003F4D9A" w:rsidRDefault="00017494" w:rsidP="00113322">
      <w:pPr>
        <w:rPr>
          <w:szCs w:val="24"/>
          <w:shd w:val="clear" w:color="auto" w:fill="FFFFFF"/>
        </w:rPr>
      </w:pPr>
      <w:r w:rsidRPr="006A2019">
        <w:rPr>
          <w:szCs w:val="24"/>
        </w:rPr>
        <w:t>For non-integrated apprenticeship provision,</w:t>
      </w:r>
      <w:r w:rsidR="007C6F57" w:rsidRPr="006A2019">
        <w:rPr>
          <w:szCs w:val="24"/>
        </w:rPr>
        <w:t xml:space="preserve"> the role of</w:t>
      </w:r>
      <w:r w:rsidRPr="006A2019">
        <w:rPr>
          <w:szCs w:val="24"/>
        </w:rPr>
        <w:t xml:space="preserve"> </w:t>
      </w:r>
      <w:r w:rsidR="007C6F57" w:rsidRPr="006A2019">
        <w:rPr>
          <w:szCs w:val="24"/>
          <w:shd w:val="clear" w:color="auto" w:fill="FFFFFF"/>
        </w:rPr>
        <w:t xml:space="preserve">lead end point assessor of the apprenticeship </w:t>
      </w:r>
      <w:r w:rsidR="00B502A9">
        <w:rPr>
          <w:szCs w:val="24"/>
          <w:shd w:val="clear" w:color="auto" w:fill="FFFFFF"/>
        </w:rPr>
        <w:t>is</w:t>
      </w:r>
      <w:r w:rsidR="007C6F57" w:rsidRPr="006A2019">
        <w:rPr>
          <w:szCs w:val="24"/>
          <w:shd w:val="clear" w:color="auto" w:fill="FFFFFF"/>
        </w:rPr>
        <w:t xml:space="preserve"> </w:t>
      </w:r>
      <w:r w:rsidR="009F209F">
        <w:rPr>
          <w:szCs w:val="24"/>
          <w:shd w:val="clear" w:color="auto" w:fill="FFFFFF"/>
        </w:rPr>
        <w:t>ful</w:t>
      </w:r>
      <w:r w:rsidR="007C6F57" w:rsidRPr="006A2019">
        <w:rPr>
          <w:szCs w:val="24"/>
          <w:shd w:val="clear" w:color="auto" w:fill="FFFFFF"/>
        </w:rPr>
        <w:t xml:space="preserve">filled by an external organization chosen by the employer. </w:t>
      </w:r>
      <w:r w:rsidR="00BC3C04">
        <w:rPr>
          <w:szCs w:val="24"/>
          <w:shd w:val="clear" w:color="auto" w:fill="FFFFFF"/>
        </w:rPr>
        <w:t>Subject E</w:t>
      </w:r>
      <w:r w:rsidR="007C6F57" w:rsidRPr="006A2019">
        <w:rPr>
          <w:szCs w:val="24"/>
          <w:shd w:val="clear" w:color="auto" w:fill="FFFFFF"/>
        </w:rPr>
        <w:t>xternal Examiners allocated to modules delivered on a non-integrated H</w:t>
      </w:r>
      <w:r w:rsidR="000A57C9">
        <w:rPr>
          <w:szCs w:val="24"/>
          <w:shd w:val="clear" w:color="auto" w:fill="FFFFFF"/>
        </w:rPr>
        <w:t xml:space="preserve">DA </w:t>
      </w:r>
      <w:r w:rsidR="007C6F57" w:rsidRPr="006A2019">
        <w:rPr>
          <w:szCs w:val="24"/>
          <w:shd w:val="clear" w:color="auto" w:fill="FFFFFF"/>
        </w:rPr>
        <w:t xml:space="preserve">will have oversight of the academic award of the </w:t>
      </w:r>
      <w:r w:rsidR="00631E7A" w:rsidRPr="006A2019">
        <w:rPr>
          <w:szCs w:val="24"/>
          <w:shd w:val="clear" w:color="auto" w:fill="FFFFFF"/>
        </w:rPr>
        <w:t>apprenticeship but</w:t>
      </w:r>
      <w:r w:rsidR="007C6F57" w:rsidRPr="006A2019">
        <w:rPr>
          <w:szCs w:val="24"/>
          <w:shd w:val="clear" w:color="auto" w:fill="FFFFFF"/>
        </w:rPr>
        <w:t xml:space="preserve"> will not play a direct role in the EPA process.</w:t>
      </w:r>
    </w:p>
    <w:p w14:paraId="16FAEA2B" w14:textId="77777777" w:rsidR="00113322" w:rsidRPr="003F4D9A" w:rsidRDefault="00113322" w:rsidP="00113322">
      <w:pPr>
        <w:rPr>
          <w:szCs w:val="24"/>
        </w:rPr>
      </w:pPr>
    </w:p>
    <w:p w14:paraId="78942226" w14:textId="77777777" w:rsidR="00110D3C" w:rsidRPr="0086634A" w:rsidRDefault="00110D3C" w:rsidP="00113322">
      <w:pPr>
        <w:pStyle w:val="Heading2"/>
        <w:spacing w:before="0" w:after="0" w:line="240" w:lineRule="auto"/>
        <w:rPr>
          <w:sz w:val="28"/>
          <w:lang w:val="en-GB"/>
        </w:rPr>
      </w:pPr>
      <w:bookmarkStart w:id="7" w:name="_Toc142413459"/>
      <w:r w:rsidRPr="0086634A">
        <w:rPr>
          <w:sz w:val="28"/>
          <w:lang w:val="en-GB"/>
        </w:rPr>
        <w:t>Apprenticeship Monitoring Committee (AMC)</w:t>
      </w:r>
      <w:bookmarkEnd w:id="7"/>
      <w:r w:rsidRPr="0086634A">
        <w:rPr>
          <w:sz w:val="28"/>
          <w:lang w:val="en-GB"/>
        </w:rPr>
        <w:t xml:space="preserve"> </w:t>
      </w:r>
    </w:p>
    <w:p w14:paraId="6F5BB97F" w14:textId="77777777" w:rsidR="00113322" w:rsidRPr="00113322" w:rsidRDefault="00113322" w:rsidP="00113322">
      <w:pPr>
        <w:rPr>
          <w:lang w:val="en-GB"/>
        </w:rPr>
      </w:pPr>
    </w:p>
    <w:p w14:paraId="65EF0171" w14:textId="2251A3E9" w:rsidR="00B27D88" w:rsidRDefault="001A162C" w:rsidP="00113322">
      <w:pPr>
        <w:rPr>
          <w:szCs w:val="24"/>
          <w:lang w:val="en-GB"/>
        </w:rPr>
      </w:pPr>
      <w:r>
        <w:rPr>
          <w:szCs w:val="24"/>
          <w:lang w:val="en-GB"/>
        </w:rPr>
        <w:t xml:space="preserve">The AMC </w:t>
      </w:r>
      <w:bookmarkStart w:id="8" w:name="_Hlk109229501"/>
      <w:r>
        <w:rPr>
          <w:szCs w:val="24"/>
          <w:lang w:val="en-GB"/>
        </w:rPr>
        <w:t xml:space="preserve">monitors </w:t>
      </w:r>
      <w:r w:rsidR="00B27D88">
        <w:rPr>
          <w:szCs w:val="24"/>
          <w:lang w:val="en-GB"/>
        </w:rPr>
        <w:t>apprentice</w:t>
      </w:r>
      <w:r w:rsidR="00406635">
        <w:rPr>
          <w:szCs w:val="24"/>
          <w:lang w:val="en-GB"/>
        </w:rPr>
        <w:t>s’</w:t>
      </w:r>
      <w:r w:rsidR="00B27D88">
        <w:rPr>
          <w:szCs w:val="24"/>
          <w:lang w:val="en-GB"/>
        </w:rPr>
        <w:t xml:space="preserve"> progression </w:t>
      </w:r>
      <w:r w:rsidR="00406635">
        <w:rPr>
          <w:szCs w:val="24"/>
          <w:lang w:val="en-GB"/>
        </w:rPr>
        <w:t>towards meeting</w:t>
      </w:r>
      <w:r w:rsidR="00B27D88">
        <w:rPr>
          <w:szCs w:val="24"/>
          <w:lang w:val="en-GB"/>
        </w:rPr>
        <w:t xml:space="preserve"> gateway</w:t>
      </w:r>
      <w:r w:rsidR="00406635">
        <w:rPr>
          <w:szCs w:val="24"/>
          <w:lang w:val="en-GB"/>
        </w:rPr>
        <w:t xml:space="preserve"> requirements and progress through the</w:t>
      </w:r>
      <w:r w:rsidR="00B27D88">
        <w:rPr>
          <w:szCs w:val="24"/>
          <w:lang w:val="en-GB"/>
        </w:rPr>
        <w:t xml:space="preserve"> EPAs</w:t>
      </w:r>
      <w:bookmarkEnd w:id="8"/>
      <w:r w:rsidR="00B27D88">
        <w:rPr>
          <w:szCs w:val="24"/>
          <w:lang w:val="en-GB"/>
        </w:rPr>
        <w:t xml:space="preserve">. The terms of reference and composition of the AMC </w:t>
      </w:r>
      <w:r w:rsidR="00B27D88">
        <w:rPr>
          <w:szCs w:val="24"/>
          <w:lang w:val="en-GB"/>
        </w:rPr>
        <w:lastRenderedPageBreak/>
        <w:t xml:space="preserve">can be found </w:t>
      </w:r>
      <w:r w:rsidR="00C315D0">
        <w:rPr>
          <w:szCs w:val="24"/>
          <w:lang w:val="en-GB"/>
        </w:rPr>
        <w:t xml:space="preserve">in </w:t>
      </w:r>
      <w:r w:rsidR="00274FE5">
        <w:rPr>
          <w:szCs w:val="24"/>
          <w:lang w:val="en-GB"/>
        </w:rPr>
        <w:t xml:space="preserve">section </w:t>
      </w:r>
      <w:r w:rsidR="00067792">
        <w:rPr>
          <w:szCs w:val="24"/>
          <w:lang w:val="en-GB"/>
        </w:rPr>
        <w:t xml:space="preserve">O </w:t>
      </w:r>
      <w:r w:rsidR="00274FE5">
        <w:rPr>
          <w:szCs w:val="24"/>
          <w:lang w:val="en-GB"/>
        </w:rPr>
        <w:t>of</w:t>
      </w:r>
      <w:r w:rsidR="00C315D0">
        <w:rPr>
          <w:szCs w:val="24"/>
          <w:lang w:val="en-GB"/>
        </w:rPr>
        <w:t xml:space="preserve"> the Academic Quality &amp; Standards Handbook</w:t>
      </w:r>
      <w:r w:rsidR="00DF3316">
        <w:rPr>
          <w:szCs w:val="24"/>
          <w:lang w:val="en-GB"/>
        </w:rPr>
        <w:t xml:space="preserve"> </w:t>
      </w:r>
      <w:r w:rsidR="00274FE5">
        <w:rPr>
          <w:szCs w:val="24"/>
          <w:lang w:val="en-GB"/>
        </w:rPr>
        <w:t>(</w:t>
      </w:r>
      <w:r w:rsidR="00067792">
        <w:rPr>
          <w:szCs w:val="24"/>
          <w:lang w:val="en-GB"/>
        </w:rPr>
        <w:t>O</w:t>
      </w:r>
      <w:r w:rsidR="00274FE5">
        <w:rPr>
          <w:szCs w:val="24"/>
          <w:lang w:val="en-GB"/>
        </w:rPr>
        <w:t>G(v</w:t>
      </w:r>
      <w:r w:rsidR="00067792">
        <w:rPr>
          <w:szCs w:val="24"/>
          <w:lang w:val="en-GB"/>
        </w:rPr>
        <w:t>ii</w:t>
      </w:r>
      <w:r w:rsidR="00274FE5">
        <w:rPr>
          <w:szCs w:val="24"/>
          <w:lang w:val="en-GB"/>
        </w:rPr>
        <w:t>))</w:t>
      </w:r>
      <w:r w:rsidR="00B27D88">
        <w:rPr>
          <w:szCs w:val="24"/>
          <w:lang w:val="en-GB"/>
        </w:rPr>
        <w:t xml:space="preserve">. </w:t>
      </w:r>
    </w:p>
    <w:p w14:paraId="1D172CC9" w14:textId="77777777" w:rsidR="00B27D88" w:rsidRDefault="00B27D88" w:rsidP="00113322">
      <w:pPr>
        <w:rPr>
          <w:szCs w:val="24"/>
          <w:lang w:val="en-GB"/>
        </w:rPr>
      </w:pPr>
    </w:p>
    <w:p w14:paraId="1D1DE19B" w14:textId="77777777" w:rsidR="00023F0D" w:rsidRDefault="00110D3C" w:rsidP="5A67F8A5">
      <w:pPr>
        <w:rPr>
          <w:lang w:val="en-GB"/>
        </w:rPr>
      </w:pPr>
      <w:r w:rsidRPr="6A24BE7F">
        <w:rPr>
          <w:lang w:val="en-GB"/>
        </w:rPr>
        <w:t>HDA external examiners are full members of the University’s AMC.</w:t>
      </w:r>
      <w:r w:rsidR="001A162C" w:rsidRPr="6A24BE7F">
        <w:rPr>
          <w:lang w:val="en-GB"/>
        </w:rPr>
        <w:t xml:space="preserve"> </w:t>
      </w:r>
      <w:r w:rsidRPr="6A24BE7F">
        <w:rPr>
          <w:lang w:val="en-GB"/>
        </w:rPr>
        <w:t xml:space="preserve"> </w:t>
      </w:r>
      <w:r w:rsidR="00B27D88" w:rsidRPr="6A24BE7F">
        <w:rPr>
          <w:lang w:val="en-GB"/>
        </w:rPr>
        <w:t xml:space="preserve">The AMC is deemed quorate if all designated internal members and at least one </w:t>
      </w:r>
      <w:r w:rsidR="00023F0D" w:rsidRPr="6A24BE7F">
        <w:rPr>
          <w:lang w:val="en-GB"/>
        </w:rPr>
        <w:t>HDA</w:t>
      </w:r>
      <w:r w:rsidR="00B27D88" w:rsidRPr="6A24BE7F">
        <w:rPr>
          <w:lang w:val="en-GB"/>
        </w:rPr>
        <w:t xml:space="preserve"> external examiner is present.</w:t>
      </w:r>
    </w:p>
    <w:p w14:paraId="6010D7C5" w14:textId="77777777" w:rsidR="00113322" w:rsidRDefault="00113322" w:rsidP="00113322">
      <w:pPr>
        <w:rPr>
          <w:szCs w:val="24"/>
          <w:lang w:val="en-GB"/>
        </w:rPr>
      </w:pPr>
    </w:p>
    <w:p w14:paraId="1E64AED5" w14:textId="77777777" w:rsidR="00023F0D" w:rsidRPr="0086634A" w:rsidRDefault="00023F0D" w:rsidP="00113322">
      <w:pPr>
        <w:pStyle w:val="Heading2"/>
        <w:spacing w:before="0" w:after="0" w:line="240" w:lineRule="auto"/>
        <w:rPr>
          <w:sz w:val="28"/>
          <w:lang w:val="en-GB"/>
        </w:rPr>
      </w:pPr>
      <w:bookmarkStart w:id="9" w:name="_Toc142413460"/>
      <w:r w:rsidRPr="0086634A">
        <w:rPr>
          <w:sz w:val="28"/>
          <w:lang w:val="en-GB"/>
        </w:rPr>
        <w:t>Verification of the recommendations made at AMC meetings</w:t>
      </w:r>
      <w:bookmarkEnd w:id="9"/>
    </w:p>
    <w:p w14:paraId="088BD996" w14:textId="77777777" w:rsidR="00113322" w:rsidRPr="00113322" w:rsidRDefault="00113322" w:rsidP="00113322">
      <w:pPr>
        <w:rPr>
          <w:lang w:val="en-GB"/>
        </w:rPr>
      </w:pPr>
    </w:p>
    <w:p w14:paraId="1793EBB6" w14:textId="72E7FC01" w:rsidR="00403AD3" w:rsidRDefault="00023F0D" w:rsidP="5A67F8A5">
      <w:pPr>
        <w:rPr>
          <w:lang w:val="en-GB"/>
        </w:rPr>
      </w:pPr>
      <w:r w:rsidRPr="6A24BE7F">
        <w:rPr>
          <w:lang w:val="en-GB"/>
        </w:rPr>
        <w:t xml:space="preserve">The agreed final recommendations of an AMC meeting is the collective, consensus views of the Committee members, including the HDA external examiner. </w:t>
      </w:r>
      <w:r w:rsidR="00B27D88" w:rsidRPr="6A24BE7F">
        <w:rPr>
          <w:lang w:val="en-GB"/>
        </w:rPr>
        <w:t xml:space="preserve">It is expected that the </w:t>
      </w:r>
      <w:r w:rsidRPr="6A24BE7F">
        <w:rPr>
          <w:lang w:val="en-GB"/>
        </w:rPr>
        <w:t>C</w:t>
      </w:r>
      <w:r w:rsidR="00B27D88" w:rsidRPr="6A24BE7F">
        <w:rPr>
          <w:lang w:val="en-GB"/>
        </w:rPr>
        <w:t xml:space="preserve">hair of the </w:t>
      </w:r>
      <w:r w:rsidR="00406635" w:rsidRPr="6A24BE7F">
        <w:rPr>
          <w:lang w:val="en-GB"/>
        </w:rPr>
        <w:t>Committee</w:t>
      </w:r>
      <w:r w:rsidR="00B27D88" w:rsidRPr="6A24BE7F">
        <w:rPr>
          <w:lang w:val="en-GB"/>
        </w:rPr>
        <w:t xml:space="preserve"> will review all </w:t>
      </w:r>
      <w:r w:rsidR="007F4F69" w:rsidRPr="6A24BE7F">
        <w:rPr>
          <w:lang w:val="en-GB"/>
        </w:rPr>
        <w:t>outcomes</w:t>
      </w:r>
      <w:r w:rsidR="00B27D88" w:rsidRPr="6A24BE7F">
        <w:rPr>
          <w:lang w:val="en-GB"/>
        </w:rPr>
        <w:t xml:space="preserve"> to ensure that they are approved by the </w:t>
      </w:r>
      <w:r w:rsidRPr="6A24BE7F">
        <w:rPr>
          <w:lang w:val="en-GB"/>
        </w:rPr>
        <w:t>Committee</w:t>
      </w:r>
      <w:r w:rsidR="00B27D88" w:rsidRPr="6A24BE7F">
        <w:rPr>
          <w:lang w:val="en-GB"/>
        </w:rPr>
        <w:t xml:space="preserve"> and can be accurately recorded by the </w:t>
      </w:r>
      <w:r w:rsidRPr="6A24BE7F">
        <w:rPr>
          <w:lang w:val="en-GB"/>
        </w:rPr>
        <w:t>Clerk</w:t>
      </w:r>
      <w:r w:rsidR="00B27D88" w:rsidRPr="6A24BE7F">
        <w:rPr>
          <w:lang w:val="en-GB"/>
        </w:rPr>
        <w:t xml:space="preserve">.  The University does not additionally require the formality of the signature of the </w:t>
      </w:r>
      <w:r w:rsidRPr="6A24BE7F">
        <w:rPr>
          <w:lang w:val="en-GB"/>
        </w:rPr>
        <w:t>HDA</w:t>
      </w:r>
      <w:r w:rsidR="00B27D88" w:rsidRPr="6A24BE7F">
        <w:rPr>
          <w:lang w:val="en-GB"/>
        </w:rPr>
        <w:t xml:space="preserve"> external examiner at this stage.  By receipt of minutes, including a full record of </w:t>
      </w:r>
      <w:r w:rsidR="007F4F69" w:rsidRPr="6A24BE7F">
        <w:rPr>
          <w:lang w:val="en-GB"/>
        </w:rPr>
        <w:t>outcomes</w:t>
      </w:r>
      <w:r w:rsidR="00B27D88" w:rsidRPr="6A24BE7F">
        <w:rPr>
          <w:lang w:val="en-GB"/>
        </w:rPr>
        <w:t xml:space="preserve">, </w:t>
      </w:r>
      <w:r w:rsidR="007F4F69" w:rsidRPr="6A24BE7F">
        <w:rPr>
          <w:lang w:val="en-GB"/>
        </w:rPr>
        <w:t>HDA</w:t>
      </w:r>
      <w:r w:rsidR="00B27D88" w:rsidRPr="6A24BE7F">
        <w:rPr>
          <w:lang w:val="en-GB"/>
        </w:rPr>
        <w:t xml:space="preserve"> external examiners are in a position to audit the accuracy of the procedures and, if it ever became necessary, to audit any aspect of the process in more detail.</w:t>
      </w:r>
    </w:p>
    <w:p w14:paraId="20C65FCA" w14:textId="77777777" w:rsidR="00B969AF" w:rsidRDefault="00B969AF" w:rsidP="00113322">
      <w:pPr>
        <w:rPr>
          <w:szCs w:val="24"/>
          <w:lang w:val="en-GB"/>
        </w:rPr>
      </w:pPr>
    </w:p>
    <w:p w14:paraId="75558479" w14:textId="77777777" w:rsidR="00B969AF" w:rsidRPr="0086634A" w:rsidRDefault="00B969AF" w:rsidP="00113322">
      <w:pPr>
        <w:rPr>
          <w:b/>
          <w:bCs/>
          <w:sz w:val="28"/>
          <w:szCs w:val="28"/>
        </w:rPr>
      </w:pPr>
      <w:r w:rsidRPr="0086634A">
        <w:rPr>
          <w:b/>
          <w:bCs/>
          <w:sz w:val="28"/>
          <w:szCs w:val="28"/>
        </w:rPr>
        <w:t>Moderation of tripartite forms</w:t>
      </w:r>
    </w:p>
    <w:p w14:paraId="24C755C8" w14:textId="77777777" w:rsidR="00711E20" w:rsidRDefault="00711E20" w:rsidP="00113322">
      <w:pPr>
        <w:rPr>
          <w:rFonts w:ascii="Calibri" w:hAnsi="Calibri"/>
          <w:b/>
          <w:bCs/>
          <w:snapToGrid/>
          <w:sz w:val="32"/>
          <w:szCs w:val="32"/>
          <w:lang w:val="en-GB"/>
        </w:rPr>
      </w:pPr>
    </w:p>
    <w:p w14:paraId="6CC809B8" w14:textId="77777777" w:rsidR="00B969AF" w:rsidRDefault="00B969AF" w:rsidP="00113322">
      <w:r>
        <w:t>HDA external examiners will be asked to moderate a sample of tripartite forms to review the quality and range of information provided by apprentices, employers and the University, evidencing learner progression throughout the apprenticeship and engagement with the core topics.</w:t>
      </w:r>
    </w:p>
    <w:p w14:paraId="0C369AEF" w14:textId="77777777" w:rsidR="00113322" w:rsidRDefault="00113322" w:rsidP="00113322">
      <w:pPr>
        <w:rPr>
          <w:szCs w:val="24"/>
        </w:rPr>
      </w:pPr>
    </w:p>
    <w:p w14:paraId="5129CA1C" w14:textId="77777777" w:rsidR="00B969AF" w:rsidRPr="0086634A" w:rsidRDefault="00B969AF" w:rsidP="00113322">
      <w:pPr>
        <w:pStyle w:val="Heading2"/>
        <w:spacing w:before="0" w:after="0" w:line="240" w:lineRule="auto"/>
        <w:rPr>
          <w:sz w:val="28"/>
        </w:rPr>
      </w:pPr>
      <w:bookmarkStart w:id="10" w:name="_Toc142413461"/>
      <w:r w:rsidRPr="0086634A">
        <w:rPr>
          <w:sz w:val="28"/>
        </w:rPr>
        <w:t>Visits to apprentices at employer organisations</w:t>
      </w:r>
      <w:bookmarkEnd w:id="10"/>
    </w:p>
    <w:p w14:paraId="7C823266" w14:textId="77777777" w:rsidR="00113322" w:rsidRPr="00113322" w:rsidRDefault="00113322" w:rsidP="00113322"/>
    <w:p w14:paraId="4B3B6E29" w14:textId="379E89E2" w:rsidR="00B969AF" w:rsidRDefault="00B969AF" w:rsidP="00113322">
      <w:r>
        <w:t xml:space="preserve">HDA external examiners will visit apprentices at a sample of employer organisations. </w:t>
      </w:r>
      <w:r w:rsidR="00F61DD4">
        <w:t>The employer</w:t>
      </w:r>
      <w:r w:rsidR="001F54BB">
        <w:t xml:space="preserve"> visits</w:t>
      </w:r>
      <w:r w:rsidR="00F61DD4">
        <w:t xml:space="preserve"> can be onsite or </w:t>
      </w:r>
      <w:r w:rsidR="008B4985">
        <w:t>online, but</w:t>
      </w:r>
      <w:r w:rsidR="00F61DD4">
        <w:t xml:space="preserve"> </w:t>
      </w:r>
      <w:r w:rsidR="001F54BB">
        <w:t xml:space="preserve">are </w:t>
      </w:r>
      <w:r w:rsidR="00F61DD4">
        <w:t>typically held remotely</w:t>
      </w:r>
      <w:r w:rsidR="00E80880">
        <w:t xml:space="preserve">. </w:t>
      </w:r>
      <w:r>
        <w:t xml:space="preserve">The nature and frequency of external examiner visits to apprentices and their employers will be agreed annually with the external examiner and confirmed by the QAE team. Visits will provide an opportunity for the external examiner to review </w:t>
      </w:r>
      <w:bookmarkStart w:id="11" w:name="_Hlk109229554"/>
      <w:r>
        <w:t>the circumstances and quality of workplace learning provided by the organisation to meet apprenticeship standards</w:t>
      </w:r>
      <w:bookmarkEnd w:id="11"/>
      <w:r>
        <w:t xml:space="preserve"> and to ensure consistency of practice by meeting with the learner and employer.</w:t>
      </w:r>
    </w:p>
    <w:p w14:paraId="562E3E88" w14:textId="77777777" w:rsidR="00113322" w:rsidRPr="00B969AF" w:rsidRDefault="00113322" w:rsidP="00113322">
      <w:pPr>
        <w:rPr>
          <w:rFonts w:eastAsia="Calibri"/>
        </w:rPr>
      </w:pPr>
    </w:p>
    <w:p w14:paraId="41FDFA81" w14:textId="77777777" w:rsidR="00274FE5" w:rsidRPr="0086634A" w:rsidRDefault="00411243" w:rsidP="00113322">
      <w:pPr>
        <w:pStyle w:val="Heading2"/>
        <w:spacing w:before="0" w:after="0" w:line="240" w:lineRule="auto"/>
        <w:rPr>
          <w:sz w:val="28"/>
          <w:lang w:val="en-GB"/>
        </w:rPr>
      </w:pPr>
      <w:bookmarkStart w:id="12" w:name="_Toc142413462"/>
      <w:r w:rsidRPr="0086634A">
        <w:rPr>
          <w:sz w:val="28"/>
          <w:lang w:val="en-GB"/>
        </w:rPr>
        <w:t>External examiner</w:t>
      </w:r>
      <w:r w:rsidR="0046369F" w:rsidRPr="0086634A">
        <w:rPr>
          <w:sz w:val="28"/>
          <w:lang w:val="en-GB"/>
        </w:rPr>
        <w:t>s</w:t>
      </w:r>
      <w:r w:rsidRPr="0086634A">
        <w:rPr>
          <w:sz w:val="28"/>
          <w:lang w:val="en-GB"/>
        </w:rPr>
        <w:t>’</w:t>
      </w:r>
      <w:r w:rsidR="0046369F" w:rsidRPr="0086634A">
        <w:rPr>
          <w:sz w:val="28"/>
          <w:lang w:val="en-GB"/>
        </w:rPr>
        <w:t xml:space="preserve"> </w:t>
      </w:r>
      <w:r w:rsidR="007F4F69" w:rsidRPr="0086634A">
        <w:rPr>
          <w:sz w:val="28"/>
          <w:lang w:val="en-GB"/>
        </w:rPr>
        <w:t xml:space="preserve">annual </w:t>
      </w:r>
      <w:r w:rsidR="0046369F" w:rsidRPr="0086634A">
        <w:rPr>
          <w:sz w:val="28"/>
          <w:lang w:val="en-GB"/>
        </w:rPr>
        <w:t>reports</w:t>
      </w:r>
      <w:bookmarkEnd w:id="12"/>
    </w:p>
    <w:p w14:paraId="78DF12F0" w14:textId="77777777" w:rsidR="00113322" w:rsidRPr="00113322" w:rsidRDefault="00113322" w:rsidP="00113322">
      <w:pPr>
        <w:rPr>
          <w:lang w:val="en-GB"/>
        </w:rPr>
      </w:pPr>
    </w:p>
    <w:p w14:paraId="477FF803" w14:textId="77777777" w:rsidR="0046369F" w:rsidRPr="0039611E" w:rsidRDefault="0046369F" w:rsidP="5A67F8A5">
      <w:r w:rsidRPr="5A67F8A5">
        <w:t xml:space="preserve">All </w:t>
      </w:r>
      <w:r w:rsidR="007F4F69" w:rsidRPr="5A67F8A5">
        <w:t>HDA</w:t>
      </w:r>
      <w:r w:rsidR="00AA47D0" w:rsidRPr="5A67F8A5">
        <w:t xml:space="preserve"> </w:t>
      </w:r>
      <w:r w:rsidRPr="5A67F8A5">
        <w:t>external examiners, as part of their contract with the Unive</w:t>
      </w:r>
      <w:r w:rsidR="00AA47D0" w:rsidRPr="5A67F8A5">
        <w:t>rsity, are required</w:t>
      </w:r>
      <w:r w:rsidR="00274FE5" w:rsidRPr="5A67F8A5">
        <w:t xml:space="preserve"> </w:t>
      </w:r>
      <w:r w:rsidR="00AA47D0" w:rsidRPr="5A67F8A5">
        <w:t>to submit a</w:t>
      </w:r>
      <w:r w:rsidR="007F4F69" w:rsidRPr="5A67F8A5">
        <w:t>n annual</w:t>
      </w:r>
      <w:r w:rsidR="00AA47D0" w:rsidRPr="5A67F8A5">
        <w:t xml:space="preserve"> report</w:t>
      </w:r>
      <w:r w:rsidRPr="5A67F8A5">
        <w:t xml:space="preserve">.  The University has adopted a standard report format which must be </w:t>
      </w:r>
      <w:r w:rsidR="00670AA5" w:rsidRPr="5A67F8A5">
        <w:t>used</w:t>
      </w:r>
      <w:r w:rsidRPr="5A67F8A5">
        <w:t>.  In addition to responses to key questions about standards, processes and procedures, external examiners</w:t>
      </w:r>
      <w:r w:rsidR="00AA47D0" w:rsidRPr="5A67F8A5">
        <w:t xml:space="preserve"> are </w:t>
      </w:r>
      <w:r w:rsidRPr="5A67F8A5">
        <w:t>also asked to detail any areas of good practice and/or recommendations for enhancement</w:t>
      </w:r>
      <w:r w:rsidR="00BB7480" w:rsidRPr="5A67F8A5">
        <w:t>.</w:t>
      </w:r>
    </w:p>
    <w:p w14:paraId="135A5A11" w14:textId="77777777" w:rsidR="0046369F" w:rsidRPr="0039611E" w:rsidRDefault="0046369F" w:rsidP="00113322">
      <w:pPr>
        <w:rPr>
          <w:szCs w:val="24"/>
          <w:lang w:val="en-GB"/>
        </w:rPr>
      </w:pPr>
    </w:p>
    <w:p w14:paraId="4FBBB6D9" w14:textId="629E4C9A" w:rsidR="00825389" w:rsidRPr="0039611E" w:rsidRDefault="0046369F" w:rsidP="003A71C3">
      <w:pPr>
        <w:rPr>
          <w:szCs w:val="24"/>
          <w:lang w:val="en-GB"/>
        </w:rPr>
      </w:pPr>
      <w:r w:rsidRPr="0039611E">
        <w:rPr>
          <w:szCs w:val="24"/>
          <w:lang w:val="en-GB"/>
        </w:rPr>
        <w:t xml:space="preserve">The University regards the external examiner’s </w:t>
      </w:r>
      <w:r w:rsidR="007F4F69" w:rsidRPr="0039611E">
        <w:rPr>
          <w:szCs w:val="24"/>
          <w:lang w:val="en-GB"/>
        </w:rPr>
        <w:t xml:space="preserve">annual </w:t>
      </w:r>
      <w:r w:rsidRPr="0039611E">
        <w:rPr>
          <w:szCs w:val="24"/>
          <w:lang w:val="en-GB"/>
        </w:rPr>
        <w:t>report as a critical part of its quality assurance procedures</w:t>
      </w:r>
      <w:r w:rsidRPr="00CB31B3">
        <w:rPr>
          <w:szCs w:val="24"/>
          <w:lang w:val="en-GB"/>
        </w:rPr>
        <w:t xml:space="preserve">. </w:t>
      </w:r>
      <w:r w:rsidRPr="0039611E">
        <w:rPr>
          <w:szCs w:val="24"/>
          <w:lang w:val="en-GB"/>
        </w:rPr>
        <w:t xml:space="preserve">It is part of the contract with external examiners that the required </w:t>
      </w:r>
      <w:r w:rsidR="007F4F69" w:rsidRPr="0039611E">
        <w:rPr>
          <w:szCs w:val="24"/>
          <w:lang w:val="en-GB"/>
        </w:rPr>
        <w:t xml:space="preserve">annual </w:t>
      </w:r>
      <w:r w:rsidRPr="0039611E">
        <w:rPr>
          <w:szCs w:val="24"/>
          <w:lang w:val="en-GB"/>
        </w:rPr>
        <w:t>report is produced</w:t>
      </w:r>
      <w:r w:rsidR="00AA47D0" w:rsidRPr="0039611E">
        <w:rPr>
          <w:szCs w:val="24"/>
          <w:lang w:val="en-GB"/>
        </w:rPr>
        <w:t xml:space="preserve"> </w:t>
      </w:r>
      <w:r w:rsidR="007F4F69" w:rsidRPr="0039611E">
        <w:rPr>
          <w:szCs w:val="24"/>
          <w:lang w:val="en-GB"/>
        </w:rPr>
        <w:t xml:space="preserve">annually. </w:t>
      </w:r>
      <w:r w:rsidRPr="0039611E">
        <w:rPr>
          <w:szCs w:val="24"/>
          <w:lang w:val="en-GB"/>
        </w:rPr>
        <w:t>If an external examiner, following a reminder, does not submit a report</w:t>
      </w:r>
      <w:r w:rsidR="00AA47D0" w:rsidRPr="0039611E">
        <w:rPr>
          <w:szCs w:val="24"/>
          <w:lang w:val="en-GB"/>
        </w:rPr>
        <w:t xml:space="preserve"> </w:t>
      </w:r>
      <w:r w:rsidR="005C0A81" w:rsidRPr="003834C3">
        <w:t>within one month of the last AMC of the academic year that they attended</w:t>
      </w:r>
      <w:r w:rsidR="005C0A81">
        <w:t xml:space="preserve">, </w:t>
      </w:r>
      <w:r w:rsidRPr="0039611E">
        <w:rPr>
          <w:szCs w:val="24"/>
          <w:lang w:val="en-GB"/>
        </w:rPr>
        <w:t xml:space="preserve">or the report is considered to be too cursory to be of value and requests for amplification are not responded to, the contract may be terminated forthwith. The report will be regarded as a public document within the University and </w:t>
      </w:r>
      <w:r w:rsidR="00AA47D0" w:rsidRPr="0039611E">
        <w:rPr>
          <w:szCs w:val="24"/>
          <w:lang w:val="en-GB"/>
        </w:rPr>
        <w:lastRenderedPageBreak/>
        <w:t xml:space="preserve">will </w:t>
      </w:r>
      <w:r w:rsidRPr="0039611E">
        <w:rPr>
          <w:szCs w:val="24"/>
          <w:lang w:val="en-GB"/>
        </w:rPr>
        <w:t>form part of the documentation for</w:t>
      </w:r>
      <w:r w:rsidR="00AA47D0" w:rsidRPr="0039611E">
        <w:rPr>
          <w:szCs w:val="24"/>
          <w:lang w:val="en-GB"/>
        </w:rPr>
        <w:t xml:space="preserve"> </w:t>
      </w:r>
      <w:r w:rsidR="007F4F69" w:rsidRPr="0039611E">
        <w:rPr>
          <w:szCs w:val="24"/>
          <w:lang w:val="en-GB"/>
        </w:rPr>
        <w:t>review and monitoring purposes</w:t>
      </w:r>
      <w:r w:rsidRPr="0039611E">
        <w:rPr>
          <w:szCs w:val="24"/>
          <w:lang w:val="en-GB"/>
        </w:rPr>
        <w:t>.  If necessary, external examiners can submit a separate confidential letter to the Vice-Chancellor.</w:t>
      </w:r>
      <w:r w:rsidR="00CF11B1" w:rsidRPr="0039611E">
        <w:rPr>
          <w:szCs w:val="24"/>
          <w:lang w:val="en-GB"/>
        </w:rPr>
        <w:t xml:space="preserve"> The confidential letter should be subm</w:t>
      </w:r>
      <w:r w:rsidR="00AA47D0" w:rsidRPr="0039611E">
        <w:rPr>
          <w:szCs w:val="24"/>
          <w:lang w:val="en-GB"/>
        </w:rPr>
        <w:t xml:space="preserve">itted in addition to the </w:t>
      </w:r>
      <w:r w:rsidR="007F4F69" w:rsidRPr="0039611E">
        <w:rPr>
          <w:szCs w:val="24"/>
          <w:lang w:val="en-GB"/>
        </w:rPr>
        <w:t>annual</w:t>
      </w:r>
      <w:r w:rsidR="00AA47D0" w:rsidRPr="0039611E">
        <w:rPr>
          <w:szCs w:val="24"/>
          <w:lang w:val="en-GB"/>
        </w:rPr>
        <w:t xml:space="preserve"> </w:t>
      </w:r>
      <w:r w:rsidR="008B4985" w:rsidRPr="0039611E">
        <w:rPr>
          <w:szCs w:val="24"/>
          <w:lang w:val="en-GB"/>
        </w:rPr>
        <w:t>report,</w:t>
      </w:r>
      <w:r w:rsidR="00CF11B1" w:rsidRPr="0039611E">
        <w:rPr>
          <w:szCs w:val="24"/>
          <w:lang w:val="en-GB"/>
        </w:rPr>
        <w:t xml:space="preserve"> but the latter can refer to the fact that a confidential letter is also being sent without disclosing the details. An acknowledgement letter will be sent to the </w:t>
      </w:r>
      <w:r w:rsidR="00E7196A" w:rsidRPr="0039611E">
        <w:rPr>
          <w:szCs w:val="24"/>
          <w:lang w:val="en-GB"/>
        </w:rPr>
        <w:t xml:space="preserve">external </w:t>
      </w:r>
      <w:r w:rsidR="00CF11B1" w:rsidRPr="0039611E">
        <w:rPr>
          <w:szCs w:val="24"/>
          <w:lang w:val="en-GB"/>
        </w:rPr>
        <w:t xml:space="preserve">examiner from the VC within one week of receipt of the letter. The </w:t>
      </w:r>
      <w:r w:rsidR="007F4F69" w:rsidRPr="0039611E">
        <w:rPr>
          <w:szCs w:val="24"/>
          <w:lang w:val="en-GB"/>
        </w:rPr>
        <w:t xml:space="preserve">external </w:t>
      </w:r>
      <w:r w:rsidR="00CF11B1" w:rsidRPr="0039611E">
        <w:rPr>
          <w:szCs w:val="24"/>
          <w:lang w:val="en-GB"/>
        </w:rPr>
        <w:t>examiner will receive a formal response, following a detailed investigation into the matter, within four weeks of receipt of the letter.</w:t>
      </w:r>
    </w:p>
    <w:p w14:paraId="6F627A7F" w14:textId="77777777" w:rsidR="00670AA5" w:rsidRDefault="00670AA5" w:rsidP="00113322">
      <w:pPr>
        <w:rPr>
          <w:szCs w:val="24"/>
          <w:lang w:val="en-GB"/>
        </w:rPr>
      </w:pPr>
      <w:bookmarkStart w:id="13" w:name="_Toc98234334"/>
    </w:p>
    <w:p w14:paraId="300247E8" w14:textId="77777777" w:rsidR="00825389" w:rsidRPr="0086634A" w:rsidRDefault="00825389" w:rsidP="00113322">
      <w:pPr>
        <w:rPr>
          <w:b/>
          <w:bCs/>
          <w:sz w:val="28"/>
          <w:szCs w:val="28"/>
          <w:lang w:val="en-GB"/>
        </w:rPr>
      </w:pPr>
      <w:r w:rsidRPr="0086634A">
        <w:rPr>
          <w:b/>
          <w:bCs/>
          <w:sz w:val="28"/>
          <w:szCs w:val="28"/>
          <w:lang w:val="en-GB"/>
        </w:rPr>
        <w:t>Feedback to External Examiners</w:t>
      </w:r>
      <w:bookmarkEnd w:id="13"/>
    </w:p>
    <w:p w14:paraId="628D6D2A" w14:textId="77777777" w:rsidR="0029108B" w:rsidRPr="0039611E" w:rsidRDefault="0029108B" w:rsidP="00113322">
      <w:pPr>
        <w:rPr>
          <w:szCs w:val="24"/>
          <w:lang w:val="en-GB"/>
        </w:rPr>
      </w:pPr>
    </w:p>
    <w:p w14:paraId="66A1D4F3" w14:textId="77777777" w:rsidR="0029108B" w:rsidRDefault="00825389" w:rsidP="00113322">
      <w:pPr>
        <w:rPr>
          <w:szCs w:val="24"/>
          <w:lang w:val="en-GB"/>
        </w:rPr>
      </w:pPr>
      <w:r w:rsidRPr="0039611E">
        <w:rPr>
          <w:szCs w:val="24"/>
          <w:lang w:val="en-GB"/>
        </w:rPr>
        <w:t>The University requires that external examiners should be provided with feedback following discussion of their report by the Quality Assurance &amp; Enhancement team</w:t>
      </w:r>
      <w:r w:rsidR="00292818" w:rsidRPr="0039611E">
        <w:rPr>
          <w:szCs w:val="24"/>
          <w:lang w:val="en-GB"/>
        </w:rPr>
        <w:t xml:space="preserve"> and the Degree Apprenticeships team</w:t>
      </w:r>
      <w:r w:rsidRPr="0039611E">
        <w:rPr>
          <w:szCs w:val="24"/>
          <w:lang w:val="en-GB"/>
        </w:rPr>
        <w:fldChar w:fldCharType="begin"/>
      </w:r>
      <w:r w:rsidRPr="0039611E">
        <w:rPr>
          <w:szCs w:val="24"/>
          <w:lang w:val="en-GB"/>
        </w:rPr>
        <w:instrText xml:space="preserve"> XE "Boards of Study" </w:instrText>
      </w:r>
      <w:r w:rsidRPr="0039611E">
        <w:rPr>
          <w:szCs w:val="24"/>
          <w:lang w:val="en-GB"/>
        </w:rPr>
        <w:fldChar w:fldCharType="end"/>
      </w:r>
      <w:r w:rsidRPr="0039611E">
        <w:rPr>
          <w:szCs w:val="24"/>
          <w:lang w:val="en-GB"/>
        </w:rPr>
        <w:t>. This feedback should consist of an itemised response to the report using the University’s response template.</w:t>
      </w:r>
    </w:p>
    <w:p w14:paraId="47B51ED5" w14:textId="77777777" w:rsidR="00113322" w:rsidRPr="0039611E" w:rsidRDefault="00113322" w:rsidP="00113322">
      <w:pPr>
        <w:rPr>
          <w:szCs w:val="24"/>
          <w:lang w:val="en-GB"/>
        </w:rPr>
      </w:pPr>
    </w:p>
    <w:p w14:paraId="69734F4F" w14:textId="77777777" w:rsidR="00825389" w:rsidRPr="0086634A" w:rsidRDefault="00825389" w:rsidP="00113322">
      <w:pPr>
        <w:pStyle w:val="Heading2"/>
        <w:spacing w:before="0" w:after="0" w:line="240" w:lineRule="auto"/>
        <w:rPr>
          <w:sz w:val="28"/>
          <w:lang w:val="en-GB"/>
        </w:rPr>
      </w:pPr>
      <w:bookmarkStart w:id="14" w:name="_Toc98234335"/>
      <w:bookmarkStart w:id="15" w:name="_Toc142413463"/>
      <w:r w:rsidRPr="0086634A">
        <w:rPr>
          <w:sz w:val="28"/>
          <w:lang w:val="en-GB"/>
        </w:rPr>
        <w:t>Data protection, freedom of information and copyright</w:t>
      </w:r>
      <w:bookmarkEnd w:id="14"/>
      <w:bookmarkEnd w:id="15"/>
    </w:p>
    <w:p w14:paraId="063931C9" w14:textId="77777777" w:rsidR="00113322" w:rsidRPr="00113322" w:rsidRDefault="00113322" w:rsidP="00113322">
      <w:pPr>
        <w:rPr>
          <w:lang w:val="en-GB"/>
        </w:rPr>
      </w:pPr>
    </w:p>
    <w:p w14:paraId="07B66C29" w14:textId="77777777" w:rsidR="00825389" w:rsidRPr="00825389" w:rsidRDefault="00825389" w:rsidP="00113322">
      <w:pPr>
        <w:rPr>
          <w:lang w:val="en-GB"/>
        </w:rPr>
      </w:pPr>
      <w:r w:rsidRPr="00825389">
        <w:rPr>
          <w:lang w:val="en-GB"/>
        </w:rPr>
        <w:t>The University will use personal data submitted by the external examiner for the payment of fees and expenses, and for other necessary communication in connection with the external examiner’s contract. Where required for these purposes, this data will be shared with other departments of the University.</w:t>
      </w:r>
    </w:p>
    <w:p w14:paraId="7C6007EE" w14:textId="56FDEFBC" w:rsidR="00825389" w:rsidRDefault="00825389" w:rsidP="00113322">
      <w:pPr>
        <w:rPr>
          <w:lang w:val="en-GB"/>
        </w:rPr>
      </w:pPr>
      <w:r w:rsidRPr="00825389">
        <w:rPr>
          <w:lang w:val="en-GB"/>
        </w:rPr>
        <w:t xml:space="preserve">In accordance with the University’s Data Protection </w:t>
      </w:r>
      <w:r w:rsidR="004F7E4E" w:rsidRPr="00825389">
        <w:rPr>
          <w:lang w:val="en-GB"/>
        </w:rPr>
        <w:t>Policy,</w:t>
      </w:r>
      <w:r w:rsidRPr="00825389">
        <w:rPr>
          <w:lang w:val="en-GB"/>
        </w:rPr>
        <w:t xml:space="preserve"> which is based upon the Data Protection Act 2018, staff members must not disclose external examiners’ personal data, including contact details, to any person or body outside the University without the consent of the external examiner.</w:t>
      </w:r>
    </w:p>
    <w:p w14:paraId="6AA85DB5" w14:textId="77777777" w:rsidR="007C031E" w:rsidRPr="00825389" w:rsidRDefault="007C031E" w:rsidP="00113322">
      <w:pPr>
        <w:rPr>
          <w:lang w:val="en-GB"/>
        </w:rPr>
      </w:pPr>
    </w:p>
    <w:p w14:paraId="6EC8D7CB" w14:textId="77777777" w:rsidR="00825389" w:rsidRDefault="00670AA5" w:rsidP="5A67F8A5">
      <w:r w:rsidRPr="5A67F8A5">
        <w:t>E</w:t>
      </w:r>
      <w:r w:rsidR="00825389" w:rsidRPr="5A67F8A5">
        <w:t>xternal examiner report</w:t>
      </w:r>
      <w:r w:rsidRPr="5A67F8A5">
        <w:t>s</w:t>
      </w:r>
      <w:r w:rsidR="00825389" w:rsidRPr="5A67F8A5">
        <w:t xml:space="preserve"> will be made available to University staff, students and/or collaborative programme partners as part of the quality assurance/annual monitoring proce</w:t>
      </w:r>
      <w:r w:rsidRPr="5A67F8A5">
        <w:t>sses</w:t>
      </w:r>
      <w:r w:rsidR="00825389" w:rsidRPr="5A67F8A5">
        <w:t xml:space="preserve">. External examiners’ reports may be circulated as part of an internal or external audit.  </w:t>
      </w:r>
    </w:p>
    <w:p w14:paraId="2A0B8228" w14:textId="77777777" w:rsidR="0029108B" w:rsidRPr="00825389" w:rsidRDefault="0029108B" w:rsidP="00113322">
      <w:pPr>
        <w:rPr>
          <w:lang w:val="en-GB"/>
        </w:rPr>
      </w:pPr>
    </w:p>
    <w:p w14:paraId="6262F84B" w14:textId="77777777" w:rsidR="002D11BF" w:rsidRPr="002B1AEB" w:rsidRDefault="002D11BF" w:rsidP="00113322">
      <w:pPr>
        <w:rPr>
          <w:lang w:val="en-GB"/>
        </w:rPr>
      </w:pPr>
      <w:r w:rsidRPr="002B1AEB">
        <w:rPr>
          <w:lang w:val="en-GB"/>
        </w:rPr>
        <w:t>Comments and opinions expressed by an external examiner about individual students during the assessment process may be disclosed to the student concerned, if the student makes a Subject Access Request under the Data Protection Act.</w:t>
      </w:r>
    </w:p>
    <w:p w14:paraId="78954951" w14:textId="77777777" w:rsidR="002D11BF" w:rsidRPr="00825389" w:rsidRDefault="002D11BF" w:rsidP="00113322">
      <w:pPr>
        <w:rPr>
          <w:lang w:val="en-GB"/>
        </w:rPr>
      </w:pPr>
    </w:p>
    <w:p w14:paraId="38384F89" w14:textId="77777777" w:rsidR="00825389" w:rsidRDefault="00825389" w:rsidP="00113322">
      <w:pPr>
        <w:rPr>
          <w:lang w:val="en-GB"/>
        </w:rPr>
      </w:pPr>
      <w:r w:rsidRPr="00825389">
        <w:rPr>
          <w:lang w:val="en-GB"/>
        </w:rPr>
        <w:t>An external examiner is entitled to make a Subject Access Request under the Data Protection Act to see memoranda, emails and other communications relating to their appointment, including opinions expressed in a professional capacity about their appointment.</w:t>
      </w:r>
    </w:p>
    <w:p w14:paraId="63501342" w14:textId="77777777" w:rsidR="0029108B" w:rsidRPr="00825389" w:rsidRDefault="0029108B" w:rsidP="00113322">
      <w:pPr>
        <w:rPr>
          <w:lang w:val="en-GB"/>
        </w:rPr>
      </w:pPr>
    </w:p>
    <w:p w14:paraId="11FFB8AD" w14:textId="77777777" w:rsidR="00825389" w:rsidRDefault="00825389" w:rsidP="00113322">
      <w:pPr>
        <w:rPr>
          <w:lang w:val="en-GB"/>
        </w:rPr>
      </w:pPr>
      <w:r w:rsidRPr="6A24BE7F">
        <w:rPr>
          <w:lang w:val="en-GB"/>
        </w:rPr>
        <w:t>Under the Freedom of Information Act, the University will provide copies of external examiners’ reports to third parties who make a lawful request for these.  Reports will normally retain examiners’ names.  The University will consider any reasonable request from external examiners to anonymise their reports.  Such a request should be made in writing and submitted with the report.</w:t>
      </w:r>
    </w:p>
    <w:p w14:paraId="1A5C7554" w14:textId="77777777" w:rsidR="0029108B" w:rsidRPr="00825389" w:rsidRDefault="0029108B" w:rsidP="00113322">
      <w:pPr>
        <w:rPr>
          <w:lang w:val="en-GB"/>
        </w:rPr>
      </w:pPr>
    </w:p>
    <w:p w14:paraId="4CFA48B3" w14:textId="0E3F3F61" w:rsidR="0046369F" w:rsidRPr="00A01230" w:rsidRDefault="00825389" w:rsidP="00113322">
      <w:pPr>
        <w:rPr>
          <w:szCs w:val="24"/>
        </w:rPr>
      </w:pPr>
      <w:r w:rsidRPr="00825389">
        <w:rPr>
          <w:lang w:val="en-GB"/>
        </w:rPr>
        <w:t>Copyright in all external examiners' reports will be owned by the University. Examiners will not be permitted to retain their moral rights (under the Copyright Act) in the reports as the University may choose to anonymise the reports, as appropriate.</w:t>
      </w:r>
    </w:p>
    <w:p w14:paraId="38C3D996" w14:textId="77777777" w:rsidR="0046369F" w:rsidRPr="00A01230" w:rsidRDefault="0046369F" w:rsidP="00113322">
      <w:pPr>
        <w:rPr>
          <w:szCs w:val="24"/>
        </w:rPr>
      </w:pPr>
    </w:p>
    <w:p w14:paraId="4C7F322C" w14:textId="77777777" w:rsidR="0046369F" w:rsidRPr="00A01230" w:rsidRDefault="0046369F" w:rsidP="00113322">
      <w:pPr>
        <w:rPr>
          <w:szCs w:val="24"/>
        </w:rPr>
      </w:pPr>
    </w:p>
    <w:p w14:paraId="46B4A44A" w14:textId="77777777" w:rsidR="0046369F" w:rsidRPr="00A01230" w:rsidRDefault="0046369F" w:rsidP="00113322">
      <w:pPr>
        <w:rPr>
          <w:szCs w:val="24"/>
        </w:rPr>
      </w:pPr>
    </w:p>
    <w:p w14:paraId="1B0F90B7" w14:textId="77777777" w:rsidR="0046369F" w:rsidRPr="00A01230" w:rsidRDefault="0046369F" w:rsidP="00113322">
      <w:pPr>
        <w:rPr>
          <w:szCs w:val="24"/>
        </w:rPr>
      </w:pPr>
    </w:p>
    <w:p w14:paraId="3F2F6A30" w14:textId="77777777" w:rsidR="00C60EB3" w:rsidRPr="00A01230" w:rsidRDefault="00C60EB3" w:rsidP="00113322">
      <w:pPr>
        <w:rPr>
          <w:szCs w:val="24"/>
        </w:rPr>
      </w:pPr>
    </w:p>
    <w:sectPr w:rsidR="00C60EB3" w:rsidRPr="00A01230" w:rsidSect="007110B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E3CDF" w14:textId="77777777" w:rsidR="003E2EDD" w:rsidRDefault="003E2EDD" w:rsidP="0046369F">
      <w:r>
        <w:separator/>
      </w:r>
    </w:p>
  </w:endnote>
  <w:endnote w:type="continuationSeparator" w:id="0">
    <w:p w14:paraId="67D52FC8" w14:textId="77777777" w:rsidR="003E2EDD" w:rsidRDefault="003E2EDD" w:rsidP="0046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0B34" w14:textId="0E280457" w:rsidR="0046119C" w:rsidRPr="00481D40" w:rsidRDefault="6A24BE7F" w:rsidP="6A24BE7F">
    <w:pPr>
      <w:pStyle w:val="Footer"/>
      <w:pBdr>
        <w:top w:val="single" w:sz="4" w:space="1" w:color="auto"/>
      </w:pBdr>
      <w:tabs>
        <w:tab w:val="center" w:pos="4678"/>
        <w:tab w:val="right" w:pos="9072"/>
      </w:tabs>
      <w:ind w:right="-23"/>
      <w:rPr>
        <w:rFonts w:cs="Arial"/>
        <w:sz w:val="16"/>
        <w:szCs w:val="16"/>
        <w:lang w:val="en-GB"/>
      </w:rPr>
    </w:pPr>
    <w:r w:rsidRPr="6A24BE7F">
      <w:rPr>
        <w:rFonts w:cs="Arial"/>
        <w:sz w:val="16"/>
        <w:szCs w:val="16"/>
        <w:lang w:val="en-GB"/>
      </w:rPr>
      <w:t xml:space="preserve">AQSH: Guidance IG(vi)                                                   </w:t>
    </w:r>
    <w:r w:rsidRPr="6A24BE7F">
      <w:rPr>
        <w:sz w:val="16"/>
        <w:szCs w:val="16"/>
      </w:rPr>
      <w:t xml:space="preserve">2025-26                                                </w:t>
    </w:r>
    <w:r w:rsidRPr="6A24BE7F">
      <w:rPr>
        <w:rFonts w:cs="Arial"/>
        <w:sz w:val="16"/>
        <w:szCs w:val="16"/>
        <w:lang w:val="en-GB"/>
      </w:rPr>
      <w:t xml:space="preserve">                      Page </w:t>
    </w:r>
    <w:r w:rsidR="337CB986" w:rsidRPr="6A24BE7F">
      <w:rPr>
        <w:rFonts w:cs="Arial"/>
        <w:sz w:val="16"/>
        <w:szCs w:val="16"/>
      </w:rPr>
      <w:fldChar w:fldCharType="begin"/>
    </w:r>
    <w:r w:rsidR="337CB986" w:rsidRPr="6A24BE7F">
      <w:rPr>
        <w:rFonts w:cs="Arial"/>
        <w:sz w:val="16"/>
        <w:szCs w:val="16"/>
        <w:lang w:val="en-GB"/>
      </w:rPr>
      <w:instrText xml:space="preserve"> PAGE </w:instrText>
    </w:r>
    <w:r w:rsidR="337CB986" w:rsidRPr="6A24BE7F">
      <w:rPr>
        <w:rFonts w:cs="Arial"/>
        <w:sz w:val="16"/>
        <w:szCs w:val="16"/>
        <w:lang w:val="en-GB"/>
      </w:rPr>
      <w:fldChar w:fldCharType="separate"/>
    </w:r>
    <w:r w:rsidRPr="6A24BE7F">
      <w:rPr>
        <w:rFonts w:cs="Arial"/>
        <w:sz w:val="16"/>
        <w:szCs w:val="16"/>
      </w:rPr>
      <w:t>1</w:t>
    </w:r>
    <w:r w:rsidR="337CB986" w:rsidRPr="6A24BE7F">
      <w:rPr>
        <w:rFonts w:cs="Arial"/>
        <w:sz w:val="16"/>
        <w:szCs w:val="16"/>
      </w:rPr>
      <w:fldChar w:fldCharType="end"/>
    </w:r>
    <w:r w:rsidRPr="6A24BE7F">
      <w:rPr>
        <w:rFonts w:cs="Arial"/>
        <w:sz w:val="16"/>
        <w:szCs w:val="16"/>
        <w:lang w:val="en-GB"/>
      </w:rPr>
      <w:t xml:space="preserve"> of </w:t>
    </w:r>
    <w:r w:rsidR="337CB986" w:rsidRPr="6A24BE7F">
      <w:rPr>
        <w:rFonts w:cs="Arial"/>
        <w:sz w:val="16"/>
        <w:szCs w:val="16"/>
      </w:rPr>
      <w:fldChar w:fldCharType="begin"/>
    </w:r>
    <w:r w:rsidR="337CB986" w:rsidRPr="6A24BE7F">
      <w:rPr>
        <w:rFonts w:cs="Arial"/>
        <w:sz w:val="16"/>
        <w:szCs w:val="16"/>
        <w:lang w:val="en-GB"/>
      </w:rPr>
      <w:instrText xml:space="preserve"> NUMPAGES </w:instrText>
    </w:r>
    <w:r w:rsidR="337CB986" w:rsidRPr="6A24BE7F">
      <w:rPr>
        <w:rFonts w:cs="Arial"/>
        <w:sz w:val="16"/>
        <w:szCs w:val="16"/>
        <w:lang w:val="en-GB"/>
      </w:rPr>
      <w:fldChar w:fldCharType="separate"/>
    </w:r>
    <w:r w:rsidRPr="6A24BE7F">
      <w:rPr>
        <w:rFonts w:cs="Arial"/>
        <w:sz w:val="16"/>
        <w:szCs w:val="16"/>
      </w:rPr>
      <w:t>3</w:t>
    </w:r>
    <w:r w:rsidR="337CB986" w:rsidRPr="6A24BE7F">
      <w:rPr>
        <w:rFonts w:cs="Arial"/>
        <w:sz w:val="16"/>
        <w:szCs w:val="16"/>
      </w:rPr>
      <w:fldChar w:fldCharType="end"/>
    </w:r>
  </w:p>
  <w:p w14:paraId="2DE09725" w14:textId="77777777" w:rsidR="0046369F" w:rsidRPr="00110C58" w:rsidRDefault="0046369F" w:rsidP="003C6410">
    <w:pPr>
      <w:pStyle w:val="Footer"/>
      <w:tabs>
        <w:tab w:val="center" w:pos="7513"/>
      </w:tabs>
      <w:ind w:hanging="709"/>
      <w:rPr>
        <w:rFonts w:cs="Arial"/>
        <w:sz w:val="16"/>
        <w:szCs w:val="16"/>
      </w:rPr>
    </w:pPr>
  </w:p>
  <w:p w14:paraId="1C132456" w14:textId="77777777" w:rsidR="0046369F" w:rsidRDefault="0046369F" w:rsidP="003C6410">
    <w:pPr>
      <w:pStyle w:val="Footer"/>
    </w:pPr>
  </w:p>
  <w:p w14:paraId="2565AC12" w14:textId="77777777" w:rsidR="0046369F" w:rsidRDefault="0046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7E7FC" w14:textId="77777777" w:rsidR="003E2EDD" w:rsidRDefault="003E2EDD" w:rsidP="0046369F">
      <w:r>
        <w:separator/>
      </w:r>
    </w:p>
  </w:footnote>
  <w:footnote w:type="continuationSeparator" w:id="0">
    <w:p w14:paraId="6700B769" w14:textId="77777777" w:rsidR="003E2EDD" w:rsidRDefault="003E2EDD" w:rsidP="0046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F6B3" w14:textId="77777777" w:rsidR="00527F70" w:rsidRPr="000B1DCA" w:rsidRDefault="00527F70" w:rsidP="000B1DCA">
    <w:pPr>
      <w:pStyle w:val="Header"/>
      <w:tabs>
        <w:tab w:val="right" w:pos="14601"/>
      </w:tabs>
      <w:jc w:val="right"/>
      <w:rPr>
        <w:rFonts w:ascii="Calibri Light" w:hAnsi="Calibri Light" w:cs="Calibri Light"/>
        <w:b/>
        <w:snapToGrid/>
        <w:color w:val="FF0000"/>
        <w:sz w:val="28"/>
        <w:szCs w:val="28"/>
      </w:rPr>
    </w:pPr>
    <w:r>
      <w:rPr>
        <w:rFonts w:cs="Arial"/>
        <w:sz w:val="16"/>
        <w:szCs w:val="16"/>
        <w:lang w:val="en-GB"/>
      </w:rPr>
      <w:tab/>
    </w:r>
    <w:r>
      <w:rPr>
        <w:rFonts w:cs="Arial"/>
        <w:sz w:val="16"/>
        <w:szCs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B429B"/>
    <w:multiLevelType w:val="hybridMultilevel"/>
    <w:tmpl w:val="7C76456A"/>
    <w:lvl w:ilvl="0" w:tplc="88D622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952933"/>
    <w:multiLevelType w:val="hybridMultilevel"/>
    <w:tmpl w:val="424CE8D2"/>
    <w:lvl w:ilvl="0" w:tplc="88D622FC">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DC083B"/>
    <w:multiLevelType w:val="hybridMultilevel"/>
    <w:tmpl w:val="E67CAF70"/>
    <w:lvl w:ilvl="0" w:tplc="88D622F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291058">
    <w:abstractNumId w:val="0"/>
  </w:num>
  <w:num w:numId="2" w16cid:durableId="610674401">
    <w:abstractNumId w:val="1"/>
  </w:num>
  <w:num w:numId="3" w16cid:durableId="82100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9F"/>
    <w:rsid w:val="000002E1"/>
    <w:rsid w:val="0000202E"/>
    <w:rsid w:val="000064D3"/>
    <w:rsid w:val="000076A9"/>
    <w:rsid w:val="000079EC"/>
    <w:rsid w:val="00010E72"/>
    <w:rsid w:val="00011439"/>
    <w:rsid w:val="00011600"/>
    <w:rsid w:val="00012B0F"/>
    <w:rsid w:val="00012B2F"/>
    <w:rsid w:val="000138AA"/>
    <w:rsid w:val="00013B44"/>
    <w:rsid w:val="00013D97"/>
    <w:rsid w:val="00014CCC"/>
    <w:rsid w:val="000159E3"/>
    <w:rsid w:val="00017494"/>
    <w:rsid w:val="00020FB7"/>
    <w:rsid w:val="00021AFF"/>
    <w:rsid w:val="00021EA3"/>
    <w:rsid w:val="00022A9E"/>
    <w:rsid w:val="00022C89"/>
    <w:rsid w:val="00023EE0"/>
    <w:rsid w:val="00023F0D"/>
    <w:rsid w:val="00025B49"/>
    <w:rsid w:val="00026D21"/>
    <w:rsid w:val="000277F4"/>
    <w:rsid w:val="0003162F"/>
    <w:rsid w:val="0003175B"/>
    <w:rsid w:val="00031E53"/>
    <w:rsid w:val="00031FBB"/>
    <w:rsid w:val="00032DC8"/>
    <w:rsid w:val="000335E4"/>
    <w:rsid w:val="00033A10"/>
    <w:rsid w:val="0003562C"/>
    <w:rsid w:val="00035D6B"/>
    <w:rsid w:val="00036B13"/>
    <w:rsid w:val="00037212"/>
    <w:rsid w:val="0003722D"/>
    <w:rsid w:val="00040D52"/>
    <w:rsid w:val="00041914"/>
    <w:rsid w:val="00041F69"/>
    <w:rsid w:val="00042F42"/>
    <w:rsid w:val="00043022"/>
    <w:rsid w:val="000432CF"/>
    <w:rsid w:val="00044BC1"/>
    <w:rsid w:val="000452F2"/>
    <w:rsid w:val="00047358"/>
    <w:rsid w:val="000519D8"/>
    <w:rsid w:val="00052225"/>
    <w:rsid w:val="00052779"/>
    <w:rsid w:val="0005282F"/>
    <w:rsid w:val="00053333"/>
    <w:rsid w:val="00053F3F"/>
    <w:rsid w:val="00054336"/>
    <w:rsid w:val="00054B0D"/>
    <w:rsid w:val="000551E3"/>
    <w:rsid w:val="000637BA"/>
    <w:rsid w:val="00063A37"/>
    <w:rsid w:val="00064350"/>
    <w:rsid w:val="00067792"/>
    <w:rsid w:val="00067DF6"/>
    <w:rsid w:val="00073A70"/>
    <w:rsid w:val="00075169"/>
    <w:rsid w:val="0007617F"/>
    <w:rsid w:val="00076E42"/>
    <w:rsid w:val="00080028"/>
    <w:rsid w:val="000836F1"/>
    <w:rsid w:val="00084B12"/>
    <w:rsid w:val="00084E77"/>
    <w:rsid w:val="00085064"/>
    <w:rsid w:val="000852CC"/>
    <w:rsid w:val="00085856"/>
    <w:rsid w:val="00087B85"/>
    <w:rsid w:val="00090423"/>
    <w:rsid w:val="00092564"/>
    <w:rsid w:val="00093034"/>
    <w:rsid w:val="000943DF"/>
    <w:rsid w:val="0009486D"/>
    <w:rsid w:val="000967F2"/>
    <w:rsid w:val="000A041D"/>
    <w:rsid w:val="000A4168"/>
    <w:rsid w:val="000A57C9"/>
    <w:rsid w:val="000A5959"/>
    <w:rsid w:val="000A61FD"/>
    <w:rsid w:val="000A63BA"/>
    <w:rsid w:val="000A730B"/>
    <w:rsid w:val="000B0843"/>
    <w:rsid w:val="000B129A"/>
    <w:rsid w:val="000B1DCA"/>
    <w:rsid w:val="000B269C"/>
    <w:rsid w:val="000B2713"/>
    <w:rsid w:val="000B4483"/>
    <w:rsid w:val="000B4FC2"/>
    <w:rsid w:val="000B71DA"/>
    <w:rsid w:val="000C1B3E"/>
    <w:rsid w:val="000C2113"/>
    <w:rsid w:val="000C265B"/>
    <w:rsid w:val="000C51EA"/>
    <w:rsid w:val="000C55E0"/>
    <w:rsid w:val="000C6BCB"/>
    <w:rsid w:val="000D47BE"/>
    <w:rsid w:val="000D4A4A"/>
    <w:rsid w:val="000D5169"/>
    <w:rsid w:val="000D5621"/>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5A08"/>
    <w:rsid w:val="001012A1"/>
    <w:rsid w:val="001018F0"/>
    <w:rsid w:val="00102DA0"/>
    <w:rsid w:val="001066A8"/>
    <w:rsid w:val="0010707B"/>
    <w:rsid w:val="00107B05"/>
    <w:rsid w:val="001101E9"/>
    <w:rsid w:val="001102AA"/>
    <w:rsid w:val="00110D3C"/>
    <w:rsid w:val="00111690"/>
    <w:rsid w:val="00111F95"/>
    <w:rsid w:val="001132EB"/>
    <w:rsid w:val="00113322"/>
    <w:rsid w:val="00114F7B"/>
    <w:rsid w:val="00120275"/>
    <w:rsid w:val="00123689"/>
    <w:rsid w:val="0012438B"/>
    <w:rsid w:val="0012492D"/>
    <w:rsid w:val="00127554"/>
    <w:rsid w:val="00127EBD"/>
    <w:rsid w:val="00130DA8"/>
    <w:rsid w:val="001323B3"/>
    <w:rsid w:val="001332D8"/>
    <w:rsid w:val="0013493F"/>
    <w:rsid w:val="001354BD"/>
    <w:rsid w:val="00135B76"/>
    <w:rsid w:val="00135FE2"/>
    <w:rsid w:val="00136145"/>
    <w:rsid w:val="00140DB2"/>
    <w:rsid w:val="001412F0"/>
    <w:rsid w:val="001413CE"/>
    <w:rsid w:val="00142485"/>
    <w:rsid w:val="00142EB7"/>
    <w:rsid w:val="00145B29"/>
    <w:rsid w:val="00145B3C"/>
    <w:rsid w:val="00145B6E"/>
    <w:rsid w:val="001466F7"/>
    <w:rsid w:val="00146CB2"/>
    <w:rsid w:val="00146E3D"/>
    <w:rsid w:val="00147ABC"/>
    <w:rsid w:val="00151883"/>
    <w:rsid w:val="00152460"/>
    <w:rsid w:val="001525D2"/>
    <w:rsid w:val="00154831"/>
    <w:rsid w:val="00157055"/>
    <w:rsid w:val="00160E05"/>
    <w:rsid w:val="001640D0"/>
    <w:rsid w:val="00164360"/>
    <w:rsid w:val="00165025"/>
    <w:rsid w:val="00165262"/>
    <w:rsid w:val="00165B4D"/>
    <w:rsid w:val="00165BCF"/>
    <w:rsid w:val="001665D4"/>
    <w:rsid w:val="00166D8E"/>
    <w:rsid w:val="00167F4C"/>
    <w:rsid w:val="00172B08"/>
    <w:rsid w:val="001731C4"/>
    <w:rsid w:val="001733C5"/>
    <w:rsid w:val="00174337"/>
    <w:rsid w:val="00176D51"/>
    <w:rsid w:val="00177B42"/>
    <w:rsid w:val="00181451"/>
    <w:rsid w:val="001827B3"/>
    <w:rsid w:val="00183084"/>
    <w:rsid w:val="00185D46"/>
    <w:rsid w:val="00187DEF"/>
    <w:rsid w:val="00191E37"/>
    <w:rsid w:val="00192873"/>
    <w:rsid w:val="001949ED"/>
    <w:rsid w:val="0019610A"/>
    <w:rsid w:val="00196F19"/>
    <w:rsid w:val="001A104C"/>
    <w:rsid w:val="001A111E"/>
    <w:rsid w:val="001A162C"/>
    <w:rsid w:val="001A1738"/>
    <w:rsid w:val="001A2444"/>
    <w:rsid w:val="001A27E2"/>
    <w:rsid w:val="001A2BA0"/>
    <w:rsid w:val="001A3164"/>
    <w:rsid w:val="001A430F"/>
    <w:rsid w:val="001A5630"/>
    <w:rsid w:val="001A756B"/>
    <w:rsid w:val="001B2282"/>
    <w:rsid w:val="001B3677"/>
    <w:rsid w:val="001B523C"/>
    <w:rsid w:val="001B600B"/>
    <w:rsid w:val="001B683B"/>
    <w:rsid w:val="001B74AE"/>
    <w:rsid w:val="001B7F12"/>
    <w:rsid w:val="001C1257"/>
    <w:rsid w:val="001C1F00"/>
    <w:rsid w:val="001C2155"/>
    <w:rsid w:val="001C3EDA"/>
    <w:rsid w:val="001C416E"/>
    <w:rsid w:val="001C4573"/>
    <w:rsid w:val="001C4C15"/>
    <w:rsid w:val="001D0537"/>
    <w:rsid w:val="001D0B09"/>
    <w:rsid w:val="001D0E9C"/>
    <w:rsid w:val="001D1149"/>
    <w:rsid w:val="001D24B9"/>
    <w:rsid w:val="001D7D6F"/>
    <w:rsid w:val="001E0808"/>
    <w:rsid w:val="001E0868"/>
    <w:rsid w:val="001E25CD"/>
    <w:rsid w:val="001E2DD8"/>
    <w:rsid w:val="001F0386"/>
    <w:rsid w:val="001F11AD"/>
    <w:rsid w:val="001F170F"/>
    <w:rsid w:val="001F3036"/>
    <w:rsid w:val="001F54BB"/>
    <w:rsid w:val="0020178F"/>
    <w:rsid w:val="00207199"/>
    <w:rsid w:val="00207D6E"/>
    <w:rsid w:val="00210A85"/>
    <w:rsid w:val="00213E69"/>
    <w:rsid w:val="00214BD4"/>
    <w:rsid w:val="00216E34"/>
    <w:rsid w:val="00216E66"/>
    <w:rsid w:val="0021716C"/>
    <w:rsid w:val="002203F9"/>
    <w:rsid w:val="002221E0"/>
    <w:rsid w:val="00222220"/>
    <w:rsid w:val="00223D49"/>
    <w:rsid w:val="002245B5"/>
    <w:rsid w:val="00225103"/>
    <w:rsid w:val="002256F6"/>
    <w:rsid w:val="00227BD1"/>
    <w:rsid w:val="00231210"/>
    <w:rsid w:val="00231659"/>
    <w:rsid w:val="00232FBD"/>
    <w:rsid w:val="0023442D"/>
    <w:rsid w:val="00237043"/>
    <w:rsid w:val="002371A8"/>
    <w:rsid w:val="002405BB"/>
    <w:rsid w:val="00241DCB"/>
    <w:rsid w:val="002421F8"/>
    <w:rsid w:val="00243B7B"/>
    <w:rsid w:val="0024644D"/>
    <w:rsid w:val="002515EA"/>
    <w:rsid w:val="00251D6D"/>
    <w:rsid w:val="002527DE"/>
    <w:rsid w:val="00253A26"/>
    <w:rsid w:val="002541D6"/>
    <w:rsid w:val="00254800"/>
    <w:rsid w:val="00256132"/>
    <w:rsid w:val="00256E5C"/>
    <w:rsid w:val="00260BC0"/>
    <w:rsid w:val="002617FA"/>
    <w:rsid w:val="00263CAD"/>
    <w:rsid w:val="002644BD"/>
    <w:rsid w:val="002656B8"/>
    <w:rsid w:val="002705C2"/>
    <w:rsid w:val="00272537"/>
    <w:rsid w:val="00272562"/>
    <w:rsid w:val="0027491B"/>
    <w:rsid w:val="002749F8"/>
    <w:rsid w:val="00274FE5"/>
    <w:rsid w:val="00275B94"/>
    <w:rsid w:val="00275E19"/>
    <w:rsid w:val="00276F09"/>
    <w:rsid w:val="00277A9A"/>
    <w:rsid w:val="00277C06"/>
    <w:rsid w:val="00277EB9"/>
    <w:rsid w:val="002813D3"/>
    <w:rsid w:val="00282B9E"/>
    <w:rsid w:val="002844A8"/>
    <w:rsid w:val="002845F2"/>
    <w:rsid w:val="00285162"/>
    <w:rsid w:val="00285566"/>
    <w:rsid w:val="00285BA5"/>
    <w:rsid w:val="00287141"/>
    <w:rsid w:val="0029012A"/>
    <w:rsid w:val="0029108B"/>
    <w:rsid w:val="00292818"/>
    <w:rsid w:val="002929AD"/>
    <w:rsid w:val="00293A7D"/>
    <w:rsid w:val="0029445A"/>
    <w:rsid w:val="00295712"/>
    <w:rsid w:val="002959F8"/>
    <w:rsid w:val="002964D6"/>
    <w:rsid w:val="00297E58"/>
    <w:rsid w:val="002A2104"/>
    <w:rsid w:val="002A541C"/>
    <w:rsid w:val="002A743D"/>
    <w:rsid w:val="002B0123"/>
    <w:rsid w:val="002B22F0"/>
    <w:rsid w:val="002B2DC9"/>
    <w:rsid w:val="002B3AA4"/>
    <w:rsid w:val="002B4A08"/>
    <w:rsid w:val="002B7841"/>
    <w:rsid w:val="002B7CB9"/>
    <w:rsid w:val="002C0A4F"/>
    <w:rsid w:val="002C1501"/>
    <w:rsid w:val="002C1847"/>
    <w:rsid w:val="002C1C72"/>
    <w:rsid w:val="002C2FF9"/>
    <w:rsid w:val="002C587A"/>
    <w:rsid w:val="002C60C0"/>
    <w:rsid w:val="002D11BF"/>
    <w:rsid w:val="002D1E65"/>
    <w:rsid w:val="002D20BD"/>
    <w:rsid w:val="002D2BD1"/>
    <w:rsid w:val="002D31AE"/>
    <w:rsid w:val="002D34FA"/>
    <w:rsid w:val="002D509A"/>
    <w:rsid w:val="002D53E9"/>
    <w:rsid w:val="002D6467"/>
    <w:rsid w:val="002E396C"/>
    <w:rsid w:val="002E409E"/>
    <w:rsid w:val="002E7B53"/>
    <w:rsid w:val="002E7C6E"/>
    <w:rsid w:val="002F02B3"/>
    <w:rsid w:val="002F0443"/>
    <w:rsid w:val="002F1C7B"/>
    <w:rsid w:val="002F31FD"/>
    <w:rsid w:val="002F3E3D"/>
    <w:rsid w:val="002F4B6F"/>
    <w:rsid w:val="002F5B31"/>
    <w:rsid w:val="002F5FB1"/>
    <w:rsid w:val="002F6368"/>
    <w:rsid w:val="00300689"/>
    <w:rsid w:val="003015EC"/>
    <w:rsid w:val="0030364C"/>
    <w:rsid w:val="003039D8"/>
    <w:rsid w:val="003048CC"/>
    <w:rsid w:val="00305D1C"/>
    <w:rsid w:val="00305E1E"/>
    <w:rsid w:val="00307198"/>
    <w:rsid w:val="00310AD9"/>
    <w:rsid w:val="00310EDB"/>
    <w:rsid w:val="0031136F"/>
    <w:rsid w:val="0031505B"/>
    <w:rsid w:val="00316319"/>
    <w:rsid w:val="00317027"/>
    <w:rsid w:val="00317992"/>
    <w:rsid w:val="00324F2B"/>
    <w:rsid w:val="003254EA"/>
    <w:rsid w:val="00327695"/>
    <w:rsid w:val="003353B6"/>
    <w:rsid w:val="00336761"/>
    <w:rsid w:val="00336E22"/>
    <w:rsid w:val="0034014C"/>
    <w:rsid w:val="0034048B"/>
    <w:rsid w:val="00343A01"/>
    <w:rsid w:val="00343FFD"/>
    <w:rsid w:val="00344684"/>
    <w:rsid w:val="00345A77"/>
    <w:rsid w:val="00347401"/>
    <w:rsid w:val="00350424"/>
    <w:rsid w:val="00350F35"/>
    <w:rsid w:val="00351864"/>
    <w:rsid w:val="003551E2"/>
    <w:rsid w:val="0035651B"/>
    <w:rsid w:val="00362459"/>
    <w:rsid w:val="00362719"/>
    <w:rsid w:val="003627AC"/>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11E"/>
    <w:rsid w:val="00396CEF"/>
    <w:rsid w:val="0039776E"/>
    <w:rsid w:val="003A1CFC"/>
    <w:rsid w:val="003A4192"/>
    <w:rsid w:val="003A59BC"/>
    <w:rsid w:val="003A5B5C"/>
    <w:rsid w:val="003A6BA6"/>
    <w:rsid w:val="003A71C3"/>
    <w:rsid w:val="003B0ABE"/>
    <w:rsid w:val="003B2785"/>
    <w:rsid w:val="003B510A"/>
    <w:rsid w:val="003B5132"/>
    <w:rsid w:val="003B6AC7"/>
    <w:rsid w:val="003C0336"/>
    <w:rsid w:val="003C0390"/>
    <w:rsid w:val="003C06E8"/>
    <w:rsid w:val="003C1656"/>
    <w:rsid w:val="003C2084"/>
    <w:rsid w:val="003C2278"/>
    <w:rsid w:val="003C2B95"/>
    <w:rsid w:val="003C2D61"/>
    <w:rsid w:val="003C3DB5"/>
    <w:rsid w:val="003C6410"/>
    <w:rsid w:val="003C6975"/>
    <w:rsid w:val="003C6AD3"/>
    <w:rsid w:val="003C6D22"/>
    <w:rsid w:val="003D03F3"/>
    <w:rsid w:val="003D0CFC"/>
    <w:rsid w:val="003D38AD"/>
    <w:rsid w:val="003D436C"/>
    <w:rsid w:val="003D4B5F"/>
    <w:rsid w:val="003D5838"/>
    <w:rsid w:val="003D5DD6"/>
    <w:rsid w:val="003D7DEA"/>
    <w:rsid w:val="003D7E5E"/>
    <w:rsid w:val="003E054F"/>
    <w:rsid w:val="003E0BA5"/>
    <w:rsid w:val="003E0CA7"/>
    <w:rsid w:val="003E2903"/>
    <w:rsid w:val="003E2ED0"/>
    <w:rsid w:val="003E2EDD"/>
    <w:rsid w:val="003E48E1"/>
    <w:rsid w:val="003E5E0F"/>
    <w:rsid w:val="003E6319"/>
    <w:rsid w:val="003E65E8"/>
    <w:rsid w:val="003E6E04"/>
    <w:rsid w:val="003E7D57"/>
    <w:rsid w:val="003E7DC7"/>
    <w:rsid w:val="003F0E1B"/>
    <w:rsid w:val="003F16D9"/>
    <w:rsid w:val="003F21BB"/>
    <w:rsid w:val="003F4D9A"/>
    <w:rsid w:val="003F674C"/>
    <w:rsid w:val="00403A8F"/>
    <w:rsid w:val="00403AD3"/>
    <w:rsid w:val="00404297"/>
    <w:rsid w:val="00406635"/>
    <w:rsid w:val="00410C44"/>
    <w:rsid w:val="00410D14"/>
    <w:rsid w:val="004110BA"/>
    <w:rsid w:val="00411243"/>
    <w:rsid w:val="004143B7"/>
    <w:rsid w:val="004146C9"/>
    <w:rsid w:val="00414DF4"/>
    <w:rsid w:val="004160DA"/>
    <w:rsid w:val="00422320"/>
    <w:rsid w:val="004236E0"/>
    <w:rsid w:val="00424B0F"/>
    <w:rsid w:val="00424BC6"/>
    <w:rsid w:val="0042527C"/>
    <w:rsid w:val="0042572B"/>
    <w:rsid w:val="00426298"/>
    <w:rsid w:val="00426D4B"/>
    <w:rsid w:val="00427529"/>
    <w:rsid w:val="004319E0"/>
    <w:rsid w:val="0043276E"/>
    <w:rsid w:val="004361CD"/>
    <w:rsid w:val="00437580"/>
    <w:rsid w:val="0043796E"/>
    <w:rsid w:val="00443D98"/>
    <w:rsid w:val="00443E71"/>
    <w:rsid w:val="004526AD"/>
    <w:rsid w:val="00452A72"/>
    <w:rsid w:val="00453E97"/>
    <w:rsid w:val="00460A37"/>
    <w:rsid w:val="0046119C"/>
    <w:rsid w:val="0046194A"/>
    <w:rsid w:val="00461B1F"/>
    <w:rsid w:val="004621F6"/>
    <w:rsid w:val="0046259C"/>
    <w:rsid w:val="00463066"/>
    <w:rsid w:val="0046369F"/>
    <w:rsid w:val="00463EAF"/>
    <w:rsid w:val="004676CE"/>
    <w:rsid w:val="0047013B"/>
    <w:rsid w:val="00470B78"/>
    <w:rsid w:val="00472A94"/>
    <w:rsid w:val="00472FAF"/>
    <w:rsid w:val="00473D70"/>
    <w:rsid w:val="00474C89"/>
    <w:rsid w:val="00475703"/>
    <w:rsid w:val="004759FD"/>
    <w:rsid w:val="004767BA"/>
    <w:rsid w:val="00484EEB"/>
    <w:rsid w:val="00487BC0"/>
    <w:rsid w:val="00487EC8"/>
    <w:rsid w:val="00492AF5"/>
    <w:rsid w:val="0049317E"/>
    <w:rsid w:val="00494C0F"/>
    <w:rsid w:val="004A1B40"/>
    <w:rsid w:val="004A4F0B"/>
    <w:rsid w:val="004A586E"/>
    <w:rsid w:val="004A7923"/>
    <w:rsid w:val="004A79D4"/>
    <w:rsid w:val="004B0460"/>
    <w:rsid w:val="004B6620"/>
    <w:rsid w:val="004B6B76"/>
    <w:rsid w:val="004B6C15"/>
    <w:rsid w:val="004C1279"/>
    <w:rsid w:val="004C2A97"/>
    <w:rsid w:val="004C302E"/>
    <w:rsid w:val="004C5AD1"/>
    <w:rsid w:val="004D00A3"/>
    <w:rsid w:val="004D39AC"/>
    <w:rsid w:val="004D44DA"/>
    <w:rsid w:val="004E0D2B"/>
    <w:rsid w:val="004E42D9"/>
    <w:rsid w:val="004E54E1"/>
    <w:rsid w:val="004E6270"/>
    <w:rsid w:val="004E6D73"/>
    <w:rsid w:val="004E6E92"/>
    <w:rsid w:val="004F1061"/>
    <w:rsid w:val="004F1498"/>
    <w:rsid w:val="004F238B"/>
    <w:rsid w:val="004F34D5"/>
    <w:rsid w:val="004F486D"/>
    <w:rsid w:val="004F606A"/>
    <w:rsid w:val="004F74D7"/>
    <w:rsid w:val="004F7E4E"/>
    <w:rsid w:val="00504DAA"/>
    <w:rsid w:val="0050528F"/>
    <w:rsid w:val="00507F2C"/>
    <w:rsid w:val="00511B47"/>
    <w:rsid w:val="00517772"/>
    <w:rsid w:val="00522F3B"/>
    <w:rsid w:val="00524C00"/>
    <w:rsid w:val="0052669E"/>
    <w:rsid w:val="00526F9B"/>
    <w:rsid w:val="00527063"/>
    <w:rsid w:val="00527F60"/>
    <w:rsid w:val="00527F70"/>
    <w:rsid w:val="00530523"/>
    <w:rsid w:val="00530BDB"/>
    <w:rsid w:val="00532316"/>
    <w:rsid w:val="00533183"/>
    <w:rsid w:val="00535F49"/>
    <w:rsid w:val="00536C7D"/>
    <w:rsid w:val="00536CDF"/>
    <w:rsid w:val="00537293"/>
    <w:rsid w:val="005405D1"/>
    <w:rsid w:val="00542BF2"/>
    <w:rsid w:val="00542F3A"/>
    <w:rsid w:val="00543A7A"/>
    <w:rsid w:val="00543D4F"/>
    <w:rsid w:val="00544FA7"/>
    <w:rsid w:val="00546D83"/>
    <w:rsid w:val="00547197"/>
    <w:rsid w:val="0055161E"/>
    <w:rsid w:val="00552E5D"/>
    <w:rsid w:val="00552FA6"/>
    <w:rsid w:val="00560EA6"/>
    <w:rsid w:val="00561905"/>
    <w:rsid w:val="00561D5A"/>
    <w:rsid w:val="00562601"/>
    <w:rsid w:val="0056273B"/>
    <w:rsid w:val="005641C1"/>
    <w:rsid w:val="00565507"/>
    <w:rsid w:val="00567C0E"/>
    <w:rsid w:val="005704D2"/>
    <w:rsid w:val="005731ED"/>
    <w:rsid w:val="005738D0"/>
    <w:rsid w:val="00575308"/>
    <w:rsid w:val="00575CEA"/>
    <w:rsid w:val="0057783B"/>
    <w:rsid w:val="00582345"/>
    <w:rsid w:val="00582F93"/>
    <w:rsid w:val="0058463C"/>
    <w:rsid w:val="0058724A"/>
    <w:rsid w:val="0058730B"/>
    <w:rsid w:val="00587ED8"/>
    <w:rsid w:val="00590428"/>
    <w:rsid w:val="00590B5E"/>
    <w:rsid w:val="0059219C"/>
    <w:rsid w:val="00597EFD"/>
    <w:rsid w:val="005A1534"/>
    <w:rsid w:val="005A3159"/>
    <w:rsid w:val="005A587E"/>
    <w:rsid w:val="005A71F4"/>
    <w:rsid w:val="005A76AA"/>
    <w:rsid w:val="005B1518"/>
    <w:rsid w:val="005B18E1"/>
    <w:rsid w:val="005B3BE3"/>
    <w:rsid w:val="005B4C28"/>
    <w:rsid w:val="005C0A81"/>
    <w:rsid w:val="005C2054"/>
    <w:rsid w:val="005C2CCE"/>
    <w:rsid w:val="005C3910"/>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9C8"/>
    <w:rsid w:val="005F3A67"/>
    <w:rsid w:val="005F5D1D"/>
    <w:rsid w:val="005F6FF6"/>
    <w:rsid w:val="00600093"/>
    <w:rsid w:val="00601B88"/>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1682"/>
    <w:rsid w:val="00622DFC"/>
    <w:rsid w:val="00624260"/>
    <w:rsid w:val="0062439E"/>
    <w:rsid w:val="00624847"/>
    <w:rsid w:val="00627598"/>
    <w:rsid w:val="0063120B"/>
    <w:rsid w:val="00631680"/>
    <w:rsid w:val="00631E7A"/>
    <w:rsid w:val="006326B1"/>
    <w:rsid w:val="006334E1"/>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5D"/>
    <w:rsid w:val="00665579"/>
    <w:rsid w:val="00665DE8"/>
    <w:rsid w:val="006663F7"/>
    <w:rsid w:val="00670932"/>
    <w:rsid w:val="00670AA5"/>
    <w:rsid w:val="00671182"/>
    <w:rsid w:val="00671EE7"/>
    <w:rsid w:val="00672ABC"/>
    <w:rsid w:val="00675AFB"/>
    <w:rsid w:val="00675BAC"/>
    <w:rsid w:val="00676D12"/>
    <w:rsid w:val="0068006F"/>
    <w:rsid w:val="0068111F"/>
    <w:rsid w:val="00682679"/>
    <w:rsid w:val="0068372C"/>
    <w:rsid w:val="00683B64"/>
    <w:rsid w:val="00693615"/>
    <w:rsid w:val="00694278"/>
    <w:rsid w:val="006947A2"/>
    <w:rsid w:val="006964F4"/>
    <w:rsid w:val="0069771F"/>
    <w:rsid w:val="006A01A2"/>
    <w:rsid w:val="006A01B7"/>
    <w:rsid w:val="006A18D0"/>
    <w:rsid w:val="006A2019"/>
    <w:rsid w:val="006A25B4"/>
    <w:rsid w:val="006A6241"/>
    <w:rsid w:val="006A70BC"/>
    <w:rsid w:val="006A71C0"/>
    <w:rsid w:val="006B0CAB"/>
    <w:rsid w:val="006B1665"/>
    <w:rsid w:val="006B1DE2"/>
    <w:rsid w:val="006B214E"/>
    <w:rsid w:val="006B2456"/>
    <w:rsid w:val="006B5FF9"/>
    <w:rsid w:val="006C2A23"/>
    <w:rsid w:val="006C3710"/>
    <w:rsid w:val="006C4299"/>
    <w:rsid w:val="006C43C2"/>
    <w:rsid w:val="006C4EA8"/>
    <w:rsid w:val="006C525D"/>
    <w:rsid w:val="006C7663"/>
    <w:rsid w:val="006C7DCD"/>
    <w:rsid w:val="006D0605"/>
    <w:rsid w:val="006D0811"/>
    <w:rsid w:val="006D14F5"/>
    <w:rsid w:val="006D31F2"/>
    <w:rsid w:val="006E0077"/>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0B4"/>
    <w:rsid w:val="00711D3F"/>
    <w:rsid w:val="00711E20"/>
    <w:rsid w:val="007127E2"/>
    <w:rsid w:val="00712CBB"/>
    <w:rsid w:val="00713604"/>
    <w:rsid w:val="00717F20"/>
    <w:rsid w:val="0072118C"/>
    <w:rsid w:val="00724192"/>
    <w:rsid w:val="00724A36"/>
    <w:rsid w:val="00724CAB"/>
    <w:rsid w:val="0072558B"/>
    <w:rsid w:val="0072593B"/>
    <w:rsid w:val="00726810"/>
    <w:rsid w:val="0072711C"/>
    <w:rsid w:val="00730E4C"/>
    <w:rsid w:val="00731BD5"/>
    <w:rsid w:val="0073208B"/>
    <w:rsid w:val="00734046"/>
    <w:rsid w:val="007353E7"/>
    <w:rsid w:val="007357B3"/>
    <w:rsid w:val="0073606D"/>
    <w:rsid w:val="00736909"/>
    <w:rsid w:val="007374C2"/>
    <w:rsid w:val="00743216"/>
    <w:rsid w:val="007444E8"/>
    <w:rsid w:val="00746E54"/>
    <w:rsid w:val="00750C9C"/>
    <w:rsid w:val="00750E3D"/>
    <w:rsid w:val="00751646"/>
    <w:rsid w:val="00751A0A"/>
    <w:rsid w:val="00754CE0"/>
    <w:rsid w:val="00755976"/>
    <w:rsid w:val="00755F42"/>
    <w:rsid w:val="00756142"/>
    <w:rsid w:val="00756747"/>
    <w:rsid w:val="007569C9"/>
    <w:rsid w:val="0076261D"/>
    <w:rsid w:val="00762C27"/>
    <w:rsid w:val="00764310"/>
    <w:rsid w:val="00767AC5"/>
    <w:rsid w:val="00770086"/>
    <w:rsid w:val="00770EDF"/>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07"/>
    <w:rsid w:val="007A0558"/>
    <w:rsid w:val="007A2371"/>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B7E78"/>
    <w:rsid w:val="007C031E"/>
    <w:rsid w:val="007C0B75"/>
    <w:rsid w:val="007C1F59"/>
    <w:rsid w:val="007C25B6"/>
    <w:rsid w:val="007C5185"/>
    <w:rsid w:val="007C6F57"/>
    <w:rsid w:val="007D010F"/>
    <w:rsid w:val="007D2A0C"/>
    <w:rsid w:val="007D2E85"/>
    <w:rsid w:val="007D4EE7"/>
    <w:rsid w:val="007D52CF"/>
    <w:rsid w:val="007D53C4"/>
    <w:rsid w:val="007E15F2"/>
    <w:rsid w:val="007E3FF7"/>
    <w:rsid w:val="007E69DF"/>
    <w:rsid w:val="007F19A8"/>
    <w:rsid w:val="007F2222"/>
    <w:rsid w:val="007F2EF2"/>
    <w:rsid w:val="007F4F69"/>
    <w:rsid w:val="007F5C94"/>
    <w:rsid w:val="007F5E8A"/>
    <w:rsid w:val="008020B0"/>
    <w:rsid w:val="00803197"/>
    <w:rsid w:val="008033F2"/>
    <w:rsid w:val="00806989"/>
    <w:rsid w:val="00807C18"/>
    <w:rsid w:val="00810009"/>
    <w:rsid w:val="008113BF"/>
    <w:rsid w:val="008120A9"/>
    <w:rsid w:val="00812436"/>
    <w:rsid w:val="00813028"/>
    <w:rsid w:val="0081323B"/>
    <w:rsid w:val="008133CE"/>
    <w:rsid w:val="008153F7"/>
    <w:rsid w:val="00815E64"/>
    <w:rsid w:val="00817132"/>
    <w:rsid w:val="00817E13"/>
    <w:rsid w:val="00820207"/>
    <w:rsid w:val="00820577"/>
    <w:rsid w:val="008228FF"/>
    <w:rsid w:val="008239ED"/>
    <w:rsid w:val="00825389"/>
    <w:rsid w:val="00826C54"/>
    <w:rsid w:val="008275D6"/>
    <w:rsid w:val="00827657"/>
    <w:rsid w:val="00827E8E"/>
    <w:rsid w:val="0083054A"/>
    <w:rsid w:val="008317AD"/>
    <w:rsid w:val="00832038"/>
    <w:rsid w:val="008459E9"/>
    <w:rsid w:val="008461CC"/>
    <w:rsid w:val="00846BDE"/>
    <w:rsid w:val="00851112"/>
    <w:rsid w:val="00851148"/>
    <w:rsid w:val="00851581"/>
    <w:rsid w:val="00851C26"/>
    <w:rsid w:val="0085359F"/>
    <w:rsid w:val="00854DCC"/>
    <w:rsid w:val="00856E0E"/>
    <w:rsid w:val="008603FF"/>
    <w:rsid w:val="0086044A"/>
    <w:rsid w:val="00860557"/>
    <w:rsid w:val="00861A1D"/>
    <w:rsid w:val="00862FBD"/>
    <w:rsid w:val="0086634A"/>
    <w:rsid w:val="0086753E"/>
    <w:rsid w:val="008709CC"/>
    <w:rsid w:val="00872AD9"/>
    <w:rsid w:val="008740E4"/>
    <w:rsid w:val="00874114"/>
    <w:rsid w:val="00877AB2"/>
    <w:rsid w:val="00880218"/>
    <w:rsid w:val="008808A5"/>
    <w:rsid w:val="00883295"/>
    <w:rsid w:val="00883EA8"/>
    <w:rsid w:val="0088447A"/>
    <w:rsid w:val="00885183"/>
    <w:rsid w:val="00887D9E"/>
    <w:rsid w:val="008900E3"/>
    <w:rsid w:val="00891514"/>
    <w:rsid w:val="008A0C66"/>
    <w:rsid w:val="008A1427"/>
    <w:rsid w:val="008A4630"/>
    <w:rsid w:val="008A72E8"/>
    <w:rsid w:val="008A7E52"/>
    <w:rsid w:val="008B164B"/>
    <w:rsid w:val="008B40D5"/>
    <w:rsid w:val="008B4266"/>
    <w:rsid w:val="008B4985"/>
    <w:rsid w:val="008B51D8"/>
    <w:rsid w:val="008B63D3"/>
    <w:rsid w:val="008B753A"/>
    <w:rsid w:val="008C064D"/>
    <w:rsid w:val="008C193A"/>
    <w:rsid w:val="008C20E5"/>
    <w:rsid w:val="008C22A6"/>
    <w:rsid w:val="008C22C2"/>
    <w:rsid w:val="008C47AA"/>
    <w:rsid w:val="008C613D"/>
    <w:rsid w:val="008C7463"/>
    <w:rsid w:val="008C756B"/>
    <w:rsid w:val="008C7A72"/>
    <w:rsid w:val="008C7AEB"/>
    <w:rsid w:val="008C7BA0"/>
    <w:rsid w:val="008D15A7"/>
    <w:rsid w:val="008D4596"/>
    <w:rsid w:val="008D45CC"/>
    <w:rsid w:val="008D4B49"/>
    <w:rsid w:val="008D540C"/>
    <w:rsid w:val="008D6187"/>
    <w:rsid w:val="008D65C0"/>
    <w:rsid w:val="008D7336"/>
    <w:rsid w:val="008D78CE"/>
    <w:rsid w:val="008E0EB9"/>
    <w:rsid w:val="008E133E"/>
    <w:rsid w:val="008E6905"/>
    <w:rsid w:val="008F18DB"/>
    <w:rsid w:val="008F1AA3"/>
    <w:rsid w:val="008F3DA2"/>
    <w:rsid w:val="008F40D6"/>
    <w:rsid w:val="008F4B19"/>
    <w:rsid w:val="008F5302"/>
    <w:rsid w:val="008F752F"/>
    <w:rsid w:val="009007A0"/>
    <w:rsid w:val="00906698"/>
    <w:rsid w:val="00907D9D"/>
    <w:rsid w:val="00915BC0"/>
    <w:rsid w:val="009168B6"/>
    <w:rsid w:val="00917772"/>
    <w:rsid w:val="00917AC0"/>
    <w:rsid w:val="00920A86"/>
    <w:rsid w:val="00924456"/>
    <w:rsid w:val="009248D5"/>
    <w:rsid w:val="0092498C"/>
    <w:rsid w:val="009251E4"/>
    <w:rsid w:val="00925ED6"/>
    <w:rsid w:val="009314B7"/>
    <w:rsid w:val="00931B64"/>
    <w:rsid w:val="00931CC3"/>
    <w:rsid w:val="009344C0"/>
    <w:rsid w:val="009344ED"/>
    <w:rsid w:val="00934A32"/>
    <w:rsid w:val="009353AB"/>
    <w:rsid w:val="00935CC8"/>
    <w:rsid w:val="00935D2F"/>
    <w:rsid w:val="00936904"/>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1832"/>
    <w:rsid w:val="00962492"/>
    <w:rsid w:val="00963226"/>
    <w:rsid w:val="009633C0"/>
    <w:rsid w:val="009638ED"/>
    <w:rsid w:val="00963B38"/>
    <w:rsid w:val="00963ED4"/>
    <w:rsid w:val="00964ED7"/>
    <w:rsid w:val="009660BF"/>
    <w:rsid w:val="00966F76"/>
    <w:rsid w:val="009707E1"/>
    <w:rsid w:val="009738A5"/>
    <w:rsid w:val="00973BF5"/>
    <w:rsid w:val="009742DA"/>
    <w:rsid w:val="00974B9B"/>
    <w:rsid w:val="00974F54"/>
    <w:rsid w:val="00975C3B"/>
    <w:rsid w:val="0097682C"/>
    <w:rsid w:val="0097737A"/>
    <w:rsid w:val="009804E1"/>
    <w:rsid w:val="00982D29"/>
    <w:rsid w:val="0098444C"/>
    <w:rsid w:val="0098510C"/>
    <w:rsid w:val="009854E1"/>
    <w:rsid w:val="00991377"/>
    <w:rsid w:val="00991C73"/>
    <w:rsid w:val="0099322F"/>
    <w:rsid w:val="00996422"/>
    <w:rsid w:val="0099669C"/>
    <w:rsid w:val="009969BF"/>
    <w:rsid w:val="0099706E"/>
    <w:rsid w:val="009A0280"/>
    <w:rsid w:val="009A0405"/>
    <w:rsid w:val="009A4EBD"/>
    <w:rsid w:val="009A50A2"/>
    <w:rsid w:val="009A51FA"/>
    <w:rsid w:val="009A52C2"/>
    <w:rsid w:val="009A5782"/>
    <w:rsid w:val="009A60EE"/>
    <w:rsid w:val="009A647C"/>
    <w:rsid w:val="009A667F"/>
    <w:rsid w:val="009A6807"/>
    <w:rsid w:val="009A6A66"/>
    <w:rsid w:val="009A751D"/>
    <w:rsid w:val="009B23BC"/>
    <w:rsid w:val="009B2D98"/>
    <w:rsid w:val="009B370B"/>
    <w:rsid w:val="009B45BF"/>
    <w:rsid w:val="009B49F2"/>
    <w:rsid w:val="009C35C7"/>
    <w:rsid w:val="009C3E60"/>
    <w:rsid w:val="009C3F2A"/>
    <w:rsid w:val="009C4669"/>
    <w:rsid w:val="009C56FF"/>
    <w:rsid w:val="009C725A"/>
    <w:rsid w:val="009D054E"/>
    <w:rsid w:val="009D39C2"/>
    <w:rsid w:val="009D4FCF"/>
    <w:rsid w:val="009D5FB2"/>
    <w:rsid w:val="009D699E"/>
    <w:rsid w:val="009E131A"/>
    <w:rsid w:val="009E27BA"/>
    <w:rsid w:val="009E5A35"/>
    <w:rsid w:val="009E5BAD"/>
    <w:rsid w:val="009E621A"/>
    <w:rsid w:val="009E6FD8"/>
    <w:rsid w:val="009F093A"/>
    <w:rsid w:val="009F1ECF"/>
    <w:rsid w:val="009F209F"/>
    <w:rsid w:val="009F550C"/>
    <w:rsid w:val="00A01230"/>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F52"/>
    <w:rsid w:val="00A22369"/>
    <w:rsid w:val="00A22F42"/>
    <w:rsid w:val="00A231CB"/>
    <w:rsid w:val="00A24F0A"/>
    <w:rsid w:val="00A2569C"/>
    <w:rsid w:val="00A27A13"/>
    <w:rsid w:val="00A3172F"/>
    <w:rsid w:val="00A31D64"/>
    <w:rsid w:val="00A31EBC"/>
    <w:rsid w:val="00A34EB8"/>
    <w:rsid w:val="00A3578F"/>
    <w:rsid w:val="00A35C28"/>
    <w:rsid w:val="00A35F9C"/>
    <w:rsid w:val="00A40925"/>
    <w:rsid w:val="00A41139"/>
    <w:rsid w:val="00A43B07"/>
    <w:rsid w:val="00A44BD4"/>
    <w:rsid w:val="00A5171B"/>
    <w:rsid w:val="00A51DBE"/>
    <w:rsid w:val="00A52EFA"/>
    <w:rsid w:val="00A5380C"/>
    <w:rsid w:val="00A62B09"/>
    <w:rsid w:val="00A6328F"/>
    <w:rsid w:val="00A647FC"/>
    <w:rsid w:val="00A65044"/>
    <w:rsid w:val="00A659BE"/>
    <w:rsid w:val="00A66317"/>
    <w:rsid w:val="00A66B45"/>
    <w:rsid w:val="00A67DDA"/>
    <w:rsid w:val="00A67E02"/>
    <w:rsid w:val="00A73502"/>
    <w:rsid w:val="00A77328"/>
    <w:rsid w:val="00A77E08"/>
    <w:rsid w:val="00A80213"/>
    <w:rsid w:val="00A82BFB"/>
    <w:rsid w:val="00A873FD"/>
    <w:rsid w:val="00A87564"/>
    <w:rsid w:val="00A90EB1"/>
    <w:rsid w:val="00A912F9"/>
    <w:rsid w:val="00A923A8"/>
    <w:rsid w:val="00A92ACE"/>
    <w:rsid w:val="00A94A29"/>
    <w:rsid w:val="00A96C14"/>
    <w:rsid w:val="00A970E9"/>
    <w:rsid w:val="00AA0516"/>
    <w:rsid w:val="00AA47D0"/>
    <w:rsid w:val="00AA4C98"/>
    <w:rsid w:val="00AA4E2A"/>
    <w:rsid w:val="00AA5819"/>
    <w:rsid w:val="00AA6BC0"/>
    <w:rsid w:val="00AA6F2E"/>
    <w:rsid w:val="00AA7194"/>
    <w:rsid w:val="00AA7DE9"/>
    <w:rsid w:val="00AB0B69"/>
    <w:rsid w:val="00AB10D5"/>
    <w:rsid w:val="00AB1317"/>
    <w:rsid w:val="00AB2567"/>
    <w:rsid w:val="00AB2998"/>
    <w:rsid w:val="00AB3755"/>
    <w:rsid w:val="00AB436F"/>
    <w:rsid w:val="00AB4901"/>
    <w:rsid w:val="00AB52E3"/>
    <w:rsid w:val="00AB5922"/>
    <w:rsid w:val="00AB59D3"/>
    <w:rsid w:val="00AB7347"/>
    <w:rsid w:val="00AB73E5"/>
    <w:rsid w:val="00AB7A52"/>
    <w:rsid w:val="00AC06BF"/>
    <w:rsid w:val="00AC16D7"/>
    <w:rsid w:val="00AC1C82"/>
    <w:rsid w:val="00AC2617"/>
    <w:rsid w:val="00AC2F8D"/>
    <w:rsid w:val="00AC417E"/>
    <w:rsid w:val="00AC471F"/>
    <w:rsid w:val="00AC4EF5"/>
    <w:rsid w:val="00AC53E1"/>
    <w:rsid w:val="00AC6323"/>
    <w:rsid w:val="00AC6A88"/>
    <w:rsid w:val="00AC7D08"/>
    <w:rsid w:val="00AC7EB4"/>
    <w:rsid w:val="00AD01AD"/>
    <w:rsid w:val="00AD0794"/>
    <w:rsid w:val="00AD1F7E"/>
    <w:rsid w:val="00AD23B6"/>
    <w:rsid w:val="00AD2F5B"/>
    <w:rsid w:val="00AD43D4"/>
    <w:rsid w:val="00AD4E45"/>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73A0"/>
    <w:rsid w:val="00AF79D3"/>
    <w:rsid w:val="00B00625"/>
    <w:rsid w:val="00B01F56"/>
    <w:rsid w:val="00B02A4D"/>
    <w:rsid w:val="00B047F4"/>
    <w:rsid w:val="00B05191"/>
    <w:rsid w:val="00B05D93"/>
    <w:rsid w:val="00B0617A"/>
    <w:rsid w:val="00B06772"/>
    <w:rsid w:val="00B1339C"/>
    <w:rsid w:val="00B14C38"/>
    <w:rsid w:val="00B15A2C"/>
    <w:rsid w:val="00B17CDC"/>
    <w:rsid w:val="00B20952"/>
    <w:rsid w:val="00B23937"/>
    <w:rsid w:val="00B23B35"/>
    <w:rsid w:val="00B26434"/>
    <w:rsid w:val="00B26BDB"/>
    <w:rsid w:val="00B27D88"/>
    <w:rsid w:val="00B32E76"/>
    <w:rsid w:val="00B348EB"/>
    <w:rsid w:val="00B357EB"/>
    <w:rsid w:val="00B371C8"/>
    <w:rsid w:val="00B40A2C"/>
    <w:rsid w:val="00B41E2C"/>
    <w:rsid w:val="00B43893"/>
    <w:rsid w:val="00B44388"/>
    <w:rsid w:val="00B45F54"/>
    <w:rsid w:val="00B4720B"/>
    <w:rsid w:val="00B47933"/>
    <w:rsid w:val="00B502A9"/>
    <w:rsid w:val="00B506F9"/>
    <w:rsid w:val="00B51F27"/>
    <w:rsid w:val="00B53DB9"/>
    <w:rsid w:val="00B5515A"/>
    <w:rsid w:val="00B56E73"/>
    <w:rsid w:val="00B57A95"/>
    <w:rsid w:val="00B620CD"/>
    <w:rsid w:val="00B65A8B"/>
    <w:rsid w:val="00B66AE4"/>
    <w:rsid w:val="00B66FE6"/>
    <w:rsid w:val="00B675FA"/>
    <w:rsid w:val="00B71E61"/>
    <w:rsid w:val="00B72FDE"/>
    <w:rsid w:val="00B73471"/>
    <w:rsid w:val="00B74BB1"/>
    <w:rsid w:val="00B75137"/>
    <w:rsid w:val="00B76072"/>
    <w:rsid w:val="00B7775A"/>
    <w:rsid w:val="00B803AA"/>
    <w:rsid w:val="00B82008"/>
    <w:rsid w:val="00B84222"/>
    <w:rsid w:val="00B84AAB"/>
    <w:rsid w:val="00B86501"/>
    <w:rsid w:val="00B871FC"/>
    <w:rsid w:val="00B87678"/>
    <w:rsid w:val="00B92B9A"/>
    <w:rsid w:val="00B94572"/>
    <w:rsid w:val="00B95CED"/>
    <w:rsid w:val="00B969AF"/>
    <w:rsid w:val="00B96F93"/>
    <w:rsid w:val="00BA160F"/>
    <w:rsid w:val="00BA162C"/>
    <w:rsid w:val="00BA2137"/>
    <w:rsid w:val="00BA49D8"/>
    <w:rsid w:val="00BA6E3A"/>
    <w:rsid w:val="00BA7FC4"/>
    <w:rsid w:val="00BB0DFD"/>
    <w:rsid w:val="00BB122B"/>
    <w:rsid w:val="00BB333C"/>
    <w:rsid w:val="00BB34BD"/>
    <w:rsid w:val="00BB62F9"/>
    <w:rsid w:val="00BB7480"/>
    <w:rsid w:val="00BB7E21"/>
    <w:rsid w:val="00BC0E71"/>
    <w:rsid w:val="00BC3C04"/>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2102"/>
    <w:rsid w:val="00BF334C"/>
    <w:rsid w:val="00BF67E2"/>
    <w:rsid w:val="00BF7C0A"/>
    <w:rsid w:val="00C02EC3"/>
    <w:rsid w:val="00C038AE"/>
    <w:rsid w:val="00C06420"/>
    <w:rsid w:val="00C10B34"/>
    <w:rsid w:val="00C11A8A"/>
    <w:rsid w:val="00C12087"/>
    <w:rsid w:val="00C1484C"/>
    <w:rsid w:val="00C15385"/>
    <w:rsid w:val="00C15C19"/>
    <w:rsid w:val="00C2068E"/>
    <w:rsid w:val="00C21812"/>
    <w:rsid w:val="00C21DF7"/>
    <w:rsid w:val="00C2245F"/>
    <w:rsid w:val="00C26DC9"/>
    <w:rsid w:val="00C303AD"/>
    <w:rsid w:val="00C3067E"/>
    <w:rsid w:val="00C315D0"/>
    <w:rsid w:val="00C32E76"/>
    <w:rsid w:val="00C332AD"/>
    <w:rsid w:val="00C34F98"/>
    <w:rsid w:val="00C36986"/>
    <w:rsid w:val="00C37E41"/>
    <w:rsid w:val="00C40C03"/>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1ABC"/>
    <w:rsid w:val="00C71FA8"/>
    <w:rsid w:val="00C72D66"/>
    <w:rsid w:val="00C72E60"/>
    <w:rsid w:val="00C748E4"/>
    <w:rsid w:val="00C755DA"/>
    <w:rsid w:val="00C770B8"/>
    <w:rsid w:val="00C77508"/>
    <w:rsid w:val="00C77737"/>
    <w:rsid w:val="00C805CF"/>
    <w:rsid w:val="00C840AF"/>
    <w:rsid w:val="00C853F7"/>
    <w:rsid w:val="00C87A5C"/>
    <w:rsid w:val="00C904B1"/>
    <w:rsid w:val="00C91ADC"/>
    <w:rsid w:val="00C940BC"/>
    <w:rsid w:val="00C950BE"/>
    <w:rsid w:val="00C951A1"/>
    <w:rsid w:val="00C959D3"/>
    <w:rsid w:val="00C96322"/>
    <w:rsid w:val="00C97F85"/>
    <w:rsid w:val="00CA0338"/>
    <w:rsid w:val="00CA0413"/>
    <w:rsid w:val="00CA08A0"/>
    <w:rsid w:val="00CA782E"/>
    <w:rsid w:val="00CB011F"/>
    <w:rsid w:val="00CB10D5"/>
    <w:rsid w:val="00CB19F9"/>
    <w:rsid w:val="00CB31A5"/>
    <w:rsid w:val="00CB31B3"/>
    <w:rsid w:val="00CB369A"/>
    <w:rsid w:val="00CB4BEC"/>
    <w:rsid w:val="00CB58B0"/>
    <w:rsid w:val="00CB65E7"/>
    <w:rsid w:val="00CB7280"/>
    <w:rsid w:val="00CB76D8"/>
    <w:rsid w:val="00CB794C"/>
    <w:rsid w:val="00CC396A"/>
    <w:rsid w:val="00CC54AF"/>
    <w:rsid w:val="00CC6036"/>
    <w:rsid w:val="00CC7713"/>
    <w:rsid w:val="00CC78AC"/>
    <w:rsid w:val="00CC7AAA"/>
    <w:rsid w:val="00CD0374"/>
    <w:rsid w:val="00CD0BC0"/>
    <w:rsid w:val="00CD2E5F"/>
    <w:rsid w:val="00CD64D8"/>
    <w:rsid w:val="00CE0AF2"/>
    <w:rsid w:val="00CE1597"/>
    <w:rsid w:val="00CE1AF2"/>
    <w:rsid w:val="00CE1D11"/>
    <w:rsid w:val="00CE3690"/>
    <w:rsid w:val="00CE4CEF"/>
    <w:rsid w:val="00CE5C1E"/>
    <w:rsid w:val="00CE70DF"/>
    <w:rsid w:val="00CF11B1"/>
    <w:rsid w:val="00CF4DC9"/>
    <w:rsid w:val="00CF5134"/>
    <w:rsid w:val="00D0226E"/>
    <w:rsid w:val="00D03D65"/>
    <w:rsid w:val="00D04708"/>
    <w:rsid w:val="00D055BC"/>
    <w:rsid w:val="00D06AB9"/>
    <w:rsid w:val="00D104B4"/>
    <w:rsid w:val="00D11244"/>
    <w:rsid w:val="00D146BB"/>
    <w:rsid w:val="00D17F69"/>
    <w:rsid w:val="00D20A19"/>
    <w:rsid w:val="00D219DA"/>
    <w:rsid w:val="00D21C6B"/>
    <w:rsid w:val="00D23EF8"/>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786"/>
    <w:rsid w:val="00D63976"/>
    <w:rsid w:val="00D6399F"/>
    <w:rsid w:val="00D65871"/>
    <w:rsid w:val="00D670A3"/>
    <w:rsid w:val="00D721EA"/>
    <w:rsid w:val="00D74F07"/>
    <w:rsid w:val="00D77959"/>
    <w:rsid w:val="00D77B0B"/>
    <w:rsid w:val="00D81509"/>
    <w:rsid w:val="00D8625D"/>
    <w:rsid w:val="00D8765B"/>
    <w:rsid w:val="00D93208"/>
    <w:rsid w:val="00D973BC"/>
    <w:rsid w:val="00DA0290"/>
    <w:rsid w:val="00DA0801"/>
    <w:rsid w:val="00DA1655"/>
    <w:rsid w:val="00DA195E"/>
    <w:rsid w:val="00DA2A40"/>
    <w:rsid w:val="00DA32AC"/>
    <w:rsid w:val="00DA3E82"/>
    <w:rsid w:val="00DA4205"/>
    <w:rsid w:val="00DA58F8"/>
    <w:rsid w:val="00DA5EF4"/>
    <w:rsid w:val="00DA7807"/>
    <w:rsid w:val="00DB0820"/>
    <w:rsid w:val="00DB2F72"/>
    <w:rsid w:val="00DB4B2F"/>
    <w:rsid w:val="00DB6D2E"/>
    <w:rsid w:val="00DB719D"/>
    <w:rsid w:val="00DB7613"/>
    <w:rsid w:val="00DC0451"/>
    <w:rsid w:val="00DC33B9"/>
    <w:rsid w:val="00DC3A50"/>
    <w:rsid w:val="00DC539B"/>
    <w:rsid w:val="00DC5F37"/>
    <w:rsid w:val="00DD00DC"/>
    <w:rsid w:val="00DD11A9"/>
    <w:rsid w:val="00DD3FA9"/>
    <w:rsid w:val="00DD604A"/>
    <w:rsid w:val="00DE2BE1"/>
    <w:rsid w:val="00DE3412"/>
    <w:rsid w:val="00DE40E0"/>
    <w:rsid w:val="00DE41C6"/>
    <w:rsid w:val="00DE49A7"/>
    <w:rsid w:val="00DE4D69"/>
    <w:rsid w:val="00DE6094"/>
    <w:rsid w:val="00DE7EAC"/>
    <w:rsid w:val="00DF09FB"/>
    <w:rsid w:val="00DF1797"/>
    <w:rsid w:val="00DF3316"/>
    <w:rsid w:val="00DF3C16"/>
    <w:rsid w:val="00DF3EA0"/>
    <w:rsid w:val="00DF417F"/>
    <w:rsid w:val="00DF4B74"/>
    <w:rsid w:val="00DF7B75"/>
    <w:rsid w:val="00E02796"/>
    <w:rsid w:val="00E02AED"/>
    <w:rsid w:val="00E02B9F"/>
    <w:rsid w:val="00E02DD4"/>
    <w:rsid w:val="00E0359C"/>
    <w:rsid w:val="00E03CAE"/>
    <w:rsid w:val="00E046AB"/>
    <w:rsid w:val="00E04E11"/>
    <w:rsid w:val="00E05BC1"/>
    <w:rsid w:val="00E11C57"/>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196A"/>
    <w:rsid w:val="00E72FCA"/>
    <w:rsid w:val="00E74735"/>
    <w:rsid w:val="00E76096"/>
    <w:rsid w:val="00E76119"/>
    <w:rsid w:val="00E76569"/>
    <w:rsid w:val="00E76A71"/>
    <w:rsid w:val="00E779F0"/>
    <w:rsid w:val="00E77A65"/>
    <w:rsid w:val="00E80154"/>
    <w:rsid w:val="00E80575"/>
    <w:rsid w:val="00E80880"/>
    <w:rsid w:val="00E815D3"/>
    <w:rsid w:val="00E841BF"/>
    <w:rsid w:val="00E85044"/>
    <w:rsid w:val="00E851AE"/>
    <w:rsid w:val="00E85260"/>
    <w:rsid w:val="00E87D8F"/>
    <w:rsid w:val="00E87E25"/>
    <w:rsid w:val="00E9122E"/>
    <w:rsid w:val="00E93A24"/>
    <w:rsid w:val="00E940A7"/>
    <w:rsid w:val="00E955E4"/>
    <w:rsid w:val="00E958CC"/>
    <w:rsid w:val="00E96B75"/>
    <w:rsid w:val="00EA002D"/>
    <w:rsid w:val="00EA0149"/>
    <w:rsid w:val="00EA0ADE"/>
    <w:rsid w:val="00EA1DBA"/>
    <w:rsid w:val="00EA30F1"/>
    <w:rsid w:val="00EA35A2"/>
    <w:rsid w:val="00EA6D39"/>
    <w:rsid w:val="00EB0286"/>
    <w:rsid w:val="00EB47C6"/>
    <w:rsid w:val="00EB6407"/>
    <w:rsid w:val="00EB6D3C"/>
    <w:rsid w:val="00EB7236"/>
    <w:rsid w:val="00EC0787"/>
    <w:rsid w:val="00EC1ABF"/>
    <w:rsid w:val="00EC23AB"/>
    <w:rsid w:val="00EC2900"/>
    <w:rsid w:val="00EC3630"/>
    <w:rsid w:val="00EC3E91"/>
    <w:rsid w:val="00EC7976"/>
    <w:rsid w:val="00ED1130"/>
    <w:rsid w:val="00ED236D"/>
    <w:rsid w:val="00ED449E"/>
    <w:rsid w:val="00ED45E4"/>
    <w:rsid w:val="00ED4D6B"/>
    <w:rsid w:val="00ED5E9D"/>
    <w:rsid w:val="00ED6C51"/>
    <w:rsid w:val="00ED73B4"/>
    <w:rsid w:val="00EE1870"/>
    <w:rsid w:val="00EE2AF3"/>
    <w:rsid w:val="00EE2AFD"/>
    <w:rsid w:val="00EE2B7E"/>
    <w:rsid w:val="00EE365F"/>
    <w:rsid w:val="00EE563A"/>
    <w:rsid w:val="00EE5D95"/>
    <w:rsid w:val="00EF0C2F"/>
    <w:rsid w:val="00EF275F"/>
    <w:rsid w:val="00EF2C6B"/>
    <w:rsid w:val="00EF78DF"/>
    <w:rsid w:val="00F013A5"/>
    <w:rsid w:val="00F01607"/>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73B"/>
    <w:rsid w:val="00F23E2C"/>
    <w:rsid w:val="00F2438B"/>
    <w:rsid w:val="00F2449A"/>
    <w:rsid w:val="00F2742E"/>
    <w:rsid w:val="00F30953"/>
    <w:rsid w:val="00F32ED9"/>
    <w:rsid w:val="00F33CE3"/>
    <w:rsid w:val="00F342F4"/>
    <w:rsid w:val="00F34F1E"/>
    <w:rsid w:val="00F36177"/>
    <w:rsid w:val="00F36A36"/>
    <w:rsid w:val="00F3777D"/>
    <w:rsid w:val="00F404F0"/>
    <w:rsid w:val="00F40A28"/>
    <w:rsid w:val="00F41381"/>
    <w:rsid w:val="00F4183F"/>
    <w:rsid w:val="00F42712"/>
    <w:rsid w:val="00F44B94"/>
    <w:rsid w:val="00F44EFC"/>
    <w:rsid w:val="00F4549B"/>
    <w:rsid w:val="00F50521"/>
    <w:rsid w:val="00F506EA"/>
    <w:rsid w:val="00F52B50"/>
    <w:rsid w:val="00F53E67"/>
    <w:rsid w:val="00F551CB"/>
    <w:rsid w:val="00F553CE"/>
    <w:rsid w:val="00F55B15"/>
    <w:rsid w:val="00F56B5A"/>
    <w:rsid w:val="00F615F9"/>
    <w:rsid w:val="00F61DD4"/>
    <w:rsid w:val="00F62CF8"/>
    <w:rsid w:val="00F63F93"/>
    <w:rsid w:val="00F641DF"/>
    <w:rsid w:val="00F65179"/>
    <w:rsid w:val="00F67F91"/>
    <w:rsid w:val="00F71E19"/>
    <w:rsid w:val="00F72931"/>
    <w:rsid w:val="00F76E9C"/>
    <w:rsid w:val="00F77DC4"/>
    <w:rsid w:val="00F81A17"/>
    <w:rsid w:val="00F82C37"/>
    <w:rsid w:val="00F830B6"/>
    <w:rsid w:val="00F83E0F"/>
    <w:rsid w:val="00F84E90"/>
    <w:rsid w:val="00F85FE1"/>
    <w:rsid w:val="00F92A4E"/>
    <w:rsid w:val="00F93917"/>
    <w:rsid w:val="00F943B3"/>
    <w:rsid w:val="00F9549D"/>
    <w:rsid w:val="00F961F8"/>
    <w:rsid w:val="00F96B22"/>
    <w:rsid w:val="00FA02F2"/>
    <w:rsid w:val="00FA0B76"/>
    <w:rsid w:val="00FA3559"/>
    <w:rsid w:val="00FA3F1A"/>
    <w:rsid w:val="00FA53A4"/>
    <w:rsid w:val="00FA5A96"/>
    <w:rsid w:val="00FA5CD1"/>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57F7"/>
    <w:rsid w:val="00FC66EB"/>
    <w:rsid w:val="00FC707E"/>
    <w:rsid w:val="00FC7A40"/>
    <w:rsid w:val="00FD0F58"/>
    <w:rsid w:val="00FD2332"/>
    <w:rsid w:val="00FD3DEE"/>
    <w:rsid w:val="00FD5057"/>
    <w:rsid w:val="00FD54EE"/>
    <w:rsid w:val="00FD5D30"/>
    <w:rsid w:val="00FD6320"/>
    <w:rsid w:val="00FE233A"/>
    <w:rsid w:val="00FE261D"/>
    <w:rsid w:val="00FE2A4E"/>
    <w:rsid w:val="00FE2F4E"/>
    <w:rsid w:val="00FE3186"/>
    <w:rsid w:val="00FE4D4C"/>
    <w:rsid w:val="00FE4FDD"/>
    <w:rsid w:val="00FE6DCC"/>
    <w:rsid w:val="00FF02D6"/>
    <w:rsid w:val="00FF0A3F"/>
    <w:rsid w:val="00FF0A4B"/>
    <w:rsid w:val="00FF223C"/>
    <w:rsid w:val="00FF3E35"/>
    <w:rsid w:val="00FF48AA"/>
    <w:rsid w:val="00FF5D50"/>
    <w:rsid w:val="337CB986"/>
    <w:rsid w:val="5A67F8A5"/>
    <w:rsid w:val="6A24BE7F"/>
    <w:rsid w:val="7908A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3DBB5"/>
  <w15:chartTrackingRefBased/>
  <w15:docId w15:val="{C18533CA-99C8-4391-9B19-9A8009AF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94"/>
    <w:pPr>
      <w:widowControl w:val="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C332AD"/>
    <w:pPr>
      <w:keepNext/>
      <w:spacing w:before="240" w:after="60" w:line="360" w:lineRule="auto"/>
      <w:outlineLvl w:val="0"/>
    </w:pPr>
    <w:rPr>
      <w:b/>
      <w:bCs/>
      <w:kern w:val="32"/>
      <w:sz w:val="36"/>
      <w:szCs w:val="32"/>
    </w:rPr>
  </w:style>
  <w:style w:type="paragraph" w:styleId="Heading2">
    <w:name w:val="heading 2"/>
    <w:basedOn w:val="Normal"/>
    <w:next w:val="Normal"/>
    <w:link w:val="Heading2Char"/>
    <w:uiPriority w:val="9"/>
    <w:unhideWhenUsed/>
    <w:qFormat/>
    <w:rsid w:val="00C332AD"/>
    <w:pPr>
      <w:keepNext/>
      <w:spacing w:before="360" w:after="180" w:line="360" w:lineRule="auto"/>
      <w:outlineLvl w:val="1"/>
    </w:pPr>
    <w:rPr>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69F"/>
    <w:pPr>
      <w:tabs>
        <w:tab w:val="center" w:pos="4513"/>
        <w:tab w:val="right" w:pos="9026"/>
      </w:tabs>
    </w:pPr>
  </w:style>
  <w:style w:type="character" w:customStyle="1" w:styleId="HeaderChar">
    <w:name w:val="Header Char"/>
    <w:link w:val="Header"/>
    <w:uiPriority w:val="99"/>
    <w:rsid w:val="0046369F"/>
    <w:rPr>
      <w:rFonts w:ascii="Times New Roman" w:eastAsia="Times New Roman" w:hAnsi="Times New Roman" w:cs="Times New Roman"/>
      <w:snapToGrid w:val="0"/>
      <w:sz w:val="24"/>
      <w:szCs w:val="20"/>
      <w:lang w:val="en-US"/>
    </w:rPr>
  </w:style>
  <w:style w:type="character" w:styleId="Hyperlink">
    <w:name w:val="Hyperlink"/>
    <w:uiPriority w:val="99"/>
    <w:rsid w:val="0046369F"/>
    <w:rPr>
      <w:color w:val="0000FF"/>
      <w:u w:val="single"/>
    </w:rPr>
  </w:style>
  <w:style w:type="paragraph" w:styleId="Footer">
    <w:name w:val="footer"/>
    <w:basedOn w:val="Normal"/>
    <w:link w:val="FooterChar"/>
    <w:uiPriority w:val="99"/>
    <w:unhideWhenUsed/>
    <w:rsid w:val="0046369F"/>
    <w:pPr>
      <w:tabs>
        <w:tab w:val="center" w:pos="4513"/>
        <w:tab w:val="right" w:pos="9026"/>
      </w:tabs>
    </w:pPr>
  </w:style>
  <w:style w:type="character" w:customStyle="1" w:styleId="FooterChar">
    <w:name w:val="Footer Char"/>
    <w:link w:val="Footer"/>
    <w:uiPriority w:val="99"/>
    <w:rsid w:val="0046369F"/>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46369F"/>
    <w:rPr>
      <w:rFonts w:ascii="Tahoma" w:hAnsi="Tahoma" w:cs="Tahoma"/>
      <w:sz w:val="16"/>
      <w:szCs w:val="16"/>
    </w:rPr>
  </w:style>
  <w:style w:type="character" w:customStyle="1" w:styleId="BalloonTextChar">
    <w:name w:val="Balloon Text Char"/>
    <w:link w:val="BalloonText"/>
    <w:uiPriority w:val="99"/>
    <w:semiHidden/>
    <w:rsid w:val="0046369F"/>
    <w:rPr>
      <w:rFonts w:ascii="Tahoma" w:eastAsia="Times New Roman" w:hAnsi="Tahoma" w:cs="Tahoma"/>
      <w:snapToGrid w:val="0"/>
      <w:sz w:val="16"/>
      <w:szCs w:val="16"/>
      <w:lang w:val="en-US"/>
    </w:rPr>
  </w:style>
  <w:style w:type="character" w:styleId="FollowedHyperlink">
    <w:name w:val="FollowedHyperlink"/>
    <w:uiPriority w:val="99"/>
    <w:semiHidden/>
    <w:unhideWhenUsed/>
    <w:rsid w:val="003C6410"/>
    <w:rPr>
      <w:color w:val="800080"/>
      <w:u w:val="single"/>
    </w:rPr>
  </w:style>
  <w:style w:type="character" w:styleId="CommentReference">
    <w:name w:val="annotation reference"/>
    <w:uiPriority w:val="99"/>
    <w:semiHidden/>
    <w:unhideWhenUsed/>
    <w:rsid w:val="00176D51"/>
    <w:rPr>
      <w:sz w:val="16"/>
      <w:szCs w:val="16"/>
    </w:rPr>
  </w:style>
  <w:style w:type="paragraph" w:styleId="CommentText">
    <w:name w:val="annotation text"/>
    <w:basedOn w:val="Normal"/>
    <w:link w:val="CommentTextChar"/>
    <w:uiPriority w:val="99"/>
    <w:unhideWhenUsed/>
    <w:rsid w:val="00176D51"/>
    <w:rPr>
      <w:sz w:val="20"/>
    </w:rPr>
  </w:style>
  <w:style w:type="character" w:customStyle="1" w:styleId="CommentTextChar">
    <w:name w:val="Comment Text Char"/>
    <w:link w:val="CommentText"/>
    <w:uiPriority w:val="99"/>
    <w:rsid w:val="00176D51"/>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176D51"/>
    <w:rPr>
      <w:b/>
      <w:bCs/>
    </w:rPr>
  </w:style>
  <w:style w:type="character" w:customStyle="1" w:styleId="CommentSubjectChar">
    <w:name w:val="Comment Subject Char"/>
    <w:link w:val="CommentSubject"/>
    <w:uiPriority w:val="99"/>
    <w:semiHidden/>
    <w:rsid w:val="00176D51"/>
    <w:rPr>
      <w:rFonts w:ascii="Times New Roman" w:eastAsia="Times New Roman" w:hAnsi="Times New Roman"/>
      <w:b/>
      <w:bCs/>
      <w:snapToGrid w:val="0"/>
      <w:lang w:val="en-US" w:eastAsia="en-US"/>
    </w:rPr>
  </w:style>
  <w:style w:type="paragraph" w:styleId="ListParagraph">
    <w:name w:val="List Paragraph"/>
    <w:basedOn w:val="Normal"/>
    <w:uiPriority w:val="34"/>
    <w:qFormat/>
    <w:rsid w:val="00176D51"/>
    <w:pPr>
      <w:ind w:left="720"/>
    </w:pPr>
  </w:style>
  <w:style w:type="character" w:customStyle="1" w:styleId="Heading2Char">
    <w:name w:val="Heading 2 Char"/>
    <w:link w:val="Heading2"/>
    <w:uiPriority w:val="9"/>
    <w:rsid w:val="00C332AD"/>
    <w:rPr>
      <w:rFonts w:ascii="Arial" w:eastAsia="Times New Roman" w:hAnsi="Arial"/>
      <w:b/>
      <w:bCs/>
      <w:iCs/>
      <w:snapToGrid w:val="0"/>
      <w:sz w:val="32"/>
      <w:szCs w:val="28"/>
      <w:lang w:val="en-US" w:eastAsia="en-US"/>
    </w:rPr>
  </w:style>
  <w:style w:type="paragraph" w:styleId="NormalWeb">
    <w:name w:val="Normal (Web)"/>
    <w:basedOn w:val="Normal"/>
    <w:uiPriority w:val="99"/>
    <w:unhideWhenUsed/>
    <w:rsid w:val="00017494"/>
    <w:pPr>
      <w:widowControl/>
      <w:spacing w:before="100" w:beforeAutospacing="1" w:after="100" w:afterAutospacing="1"/>
    </w:pPr>
    <w:rPr>
      <w:snapToGrid/>
      <w:szCs w:val="24"/>
      <w:lang w:val="en-GB" w:eastAsia="en-GB"/>
    </w:rPr>
  </w:style>
  <w:style w:type="character" w:customStyle="1" w:styleId="Heading1Char">
    <w:name w:val="Heading 1 Char"/>
    <w:link w:val="Heading1"/>
    <w:uiPriority w:val="9"/>
    <w:rsid w:val="00C332AD"/>
    <w:rPr>
      <w:rFonts w:ascii="Arial" w:eastAsia="Times New Roman" w:hAnsi="Arial" w:cs="Times New Roman"/>
      <w:b/>
      <w:bCs/>
      <w:snapToGrid w:val="0"/>
      <w:kern w:val="32"/>
      <w:sz w:val="36"/>
      <w:szCs w:val="32"/>
      <w:lang w:val="en-US" w:eastAsia="en-US"/>
    </w:rPr>
  </w:style>
  <w:style w:type="paragraph" w:styleId="TOCHeading">
    <w:name w:val="TOC Heading"/>
    <w:basedOn w:val="Heading1"/>
    <w:next w:val="Normal"/>
    <w:uiPriority w:val="39"/>
    <w:unhideWhenUsed/>
    <w:qFormat/>
    <w:rsid w:val="0029108B"/>
    <w:pPr>
      <w:keepLines/>
      <w:widowControl/>
      <w:spacing w:after="0" w:line="259" w:lineRule="auto"/>
      <w:outlineLvl w:val="9"/>
    </w:pPr>
    <w:rPr>
      <w:rFonts w:ascii="Calibri Light" w:hAnsi="Calibri Light"/>
      <w:b w:val="0"/>
      <w:bCs w:val="0"/>
      <w:snapToGrid/>
      <w:color w:val="2F5496"/>
      <w:kern w:val="0"/>
      <w:sz w:val="32"/>
    </w:rPr>
  </w:style>
  <w:style w:type="paragraph" w:styleId="TOC1">
    <w:name w:val="toc 1"/>
    <w:basedOn w:val="Normal"/>
    <w:next w:val="Normal"/>
    <w:autoRedefine/>
    <w:uiPriority w:val="39"/>
    <w:unhideWhenUsed/>
    <w:rsid w:val="0029108B"/>
  </w:style>
  <w:style w:type="paragraph" w:styleId="TOC2">
    <w:name w:val="toc 2"/>
    <w:basedOn w:val="Normal"/>
    <w:next w:val="Normal"/>
    <w:autoRedefine/>
    <w:uiPriority w:val="39"/>
    <w:unhideWhenUsed/>
    <w:rsid w:val="0029108B"/>
    <w:pPr>
      <w:ind w:left="240"/>
    </w:pPr>
  </w:style>
  <w:style w:type="paragraph" w:styleId="Revision">
    <w:name w:val="Revision"/>
    <w:hidden/>
    <w:uiPriority w:val="99"/>
    <w:semiHidden/>
    <w:rsid w:val="00936904"/>
    <w:rPr>
      <w:rFonts w:ascii="Arial" w:eastAsia="Times New Roman"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8203">
      <w:bodyDiv w:val="1"/>
      <w:marLeft w:val="0"/>
      <w:marRight w:val="0"/>
      <w:marTop w:val="0"/>
      <w:marBottom w:val="0"/>
      <w:divBdr>
        <w:top w:val="none" w:sz="0" w:space="0" w:color="auto"/>
        <w:left w:val="none" w:sz="0" w:space="0" w:color="auto"/>
        <w:bottom w:val="none" w:sz="0" w:space="0" w:color="auto"/>
        <w:right w:val="none" w:sz="0" w:space="0" w:color="auto"/>
      </w:divBdr>
    </w:div>
    <w:div w:id="642588647">
      <w:bodyDiv w:val="1"/>
      <w:marLeft w:val="0"/>
      <w:marRight w:val="0"/>
      <w:marTop w:val="0"/>
      <w:marBottom w:val="0"/>
      <w:divBdr>
        <w:top w:val="none" w:sz="0" w:space="0" w:color="auto"/>
        <w:left w:val="none" w:sz="0" w:space="0" w:color="auto"/>
        <w:bottom w:val="none" w:sz="0" w:space="0" w:color="auto"/>
        <w:right w:val="none" w:sz="0" w:space="0" w:color="auto"/>
      </w:divBdr>
    </w:div>
    <w:div w:id="16751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1A999-2D3E-42F0-B1EF-194DA7B7ACAA}">
  <ds:schemaRefs>
    <ds:schemaRef ds:uri="http://schemas.openxmlformats.org/officeDocument/2006/bibliography"/>
  </ds:schemaRefs>
</ds:datastoreItem>
</file>

<file path=customXml/itemProps2.xml><?xml version="1.0" encoding="utf-8"?>
<ds:datastoreItem xmlns:ds="http://schemas.openxmlformats.org/officeDocument/2006/customXml" ds:itemID="{C6285E3C-871B-4C06-9416-42518985E5C2}">
  <ds:schemaRefs>
    <ds:schemaRef ds:uri="http://schemas.microsoft.com/sharepoint/v3/contenttype/forms"/>
  </ds:schemaRefs>
</ds:datastoreItem>
</file>

<file path=customXml/itemProps3.xml><?xml version="1.0" encoding="utf-8"?>
<ds:datastoreItem xmlns:ds="http://schemas.openxmlformats.org/officeDocument/2006/customXml" ds:itemID="{4BF173C5-703A-46BE-9AA1-D99292050D22}">
  <ds:schemaRefs>
    <ds:schemaRef ds:uri="3949bc56-6107-4a37-a900-858857adfed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cca6b130-34ce-479a-80ad-5918b2c7d9b9"/>
  </ds:schemaRefs>
</ds:datastoreItem>
</file>

<file path=customXml/itemProps4.xml><?xml version="1.0" encoding="utf-8"?>
<ds:datastoreItem xmlns:ds="http://schemas.openxmlformats.org/officeDocument/2006/customXml" ds:itemID="{D9C0769F-A24E-4BE2-A448-60C35A697814}">
  <ds:schemaRefs>
    <ds:schemaRef ds:uri="http://schemas.microsoft.com/office/2006/metadata/longProperties"/>
  </ds:schemaRefs>
</ds:datastoreItem>
</file>

<file path=customXml/itemProps5.xml><?xml version="1.0" encoding="utf-8"?>
<ds:datastoreItem xmlns:ds="http://schemas.openxmlformats.org/officeDocument/2006/customXml" ds:itemID="{FEC879B9-2349-4110-9DE7-FF20CCC1D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1289</Words>
  <Characters>7353</Characters>
  <Application>Microsoft Office Word</Application>
  <DocSecurity>0</DocSecurity>
  <Lines>61</Lines>
  <Paragraphs>17</Paragraphs>
  <ScaleCrop>false</ScaleCrop>
  <Company>Kingston University</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Bernadette</dc:creator>
  <cp:keywords/>
  <cp:lastModifiedBy>Corcoran, Linda</cp:lastModifiedBy>
  <cp:revision>42</cp:revision>
  <cp:lastPrinted>2019-10-25T06:47:00Z</cp:lastPrinted>
  <dcterms:created xsi:type="dcterms:W3CDTF">2023-01-26T14:48:00Z</dcterms:created>
  <dcterms:modified xsi:type="dcterms:W3CDTF">2025-07-18T12:04:00Z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KU71003@kingston.ac.uk</vt:lpwstr>
  </property>
  <property fmtid="{D5CDD505-2E9C-101B-9397-08002B2CF9AE}" pid="7" name="MSIP_Label_3b551598-29da-492a-8b9f-8358cd43dd03_SetDate">
    <vt:lpwstr>2022-05-17T08:46:13.0312856Z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3f780b15-f1b4-4278-a4a3-a17e4e842566</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