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1A61" w14:textId="65FC1640" w:rsidR="00E2197C" w:rsidRPr="00C77DF6" w:rsidRDefault="00AB088E" w:rsidP="005508AD">
      <w:pPr>
        <w:jc w:val="center"/>
        <w:rPr>
          <w:b/>
          <w:bCs/>
          <w:sz w:val="36"/>
          <w:szCs w:val="36"/>
        </w:rPr>
      </w:pPr>
      <w:bookmarkStart w:id="0" w:name="_Toc97635743"/>
      <w:r w:rsidRPr="00C77DF6">
        <w:rPr>
          <w:b/>
          <w:bCs/>
          <w:sz w:val="36"/>
          <w:szCs w:val="36"/>
        </w:rPr>
        <w:t>Section K</w:t>
      </w:r>
      <w:bookmarkEnd w:id="0"/>
    </w:p>
    <w:p w14:paraId="12EE833F" w14:textId="698F5C40" w:rsidR="00CB4D51" w:rsidRPr="00C77DF6" w:rsidRDefault="00CB4D51" w:rsidP="005508AD">
      <w:pPr>
        <w:jc w:val="center"/>
        <w:rPr>
          <w:b/>
          <w:bCs/>
          <w:sz w:val="36"/>
          <w:szCs w:val="36"/>
        </w:rPr>
      </w:pPr>
      <w:bookmarkStart w:id="1" w:name="_Toc97635744"/>
      <w:r w:rsidRPr="00C77DF6">
        <w:rPr>
          <w:b/>
          <w:bCs/>
          <w:sz w:val="36"/>
          <w:szCs w:val="36"/>
        </w:rPr>
        <w:t>External Quality Assurance and Enhancement Requirements</w:t>
      </w:r>
      <w:bookmarkEnd w:id="1"/>
    </w:p>
    <w:p w14:paraId="61C29FD4" w14:textId="77777777" w:rsidR="002336C1" w:rsidRPr="002336C1" w:rsidRDefault="002336C1" w:rsidP="002336C1">
      <w:pPr>
        <w:spacing w:before="0" w:after="0" w:line="240" w:lineRule="auto"/>
      </w:pPr>
    </w:p>
    <w:sdt>
      <w:sdtPr>
        <w:rPr>
          <w:rFonts w:asciiTheme="minorHAnsi" w:eastAsia="Times New Roman" w:hAnsiTheme="minorHAnsi" w:cs="Times New Roman"/>
          <w:b/>
          <w:snapToGrid w:val="0"/>
          <w:color w:val="auto"/>
          <w:sz w:val="24"/>
          <w:szCs w:val="20"/>
        </w:rPr>
        <w:id w:val="-897429373"/>
        <w:docPartObj>
          <w:docPartGallery w:val="Table of Contents"/>
          <w:docPartUnique/>
        </w:docPartObj>
      </w:sdtPr>
      <w:sdtEndPr>
        <w:rPr>
          <w:rFonts w:ascii="Arial" w:eastAsiaTheme="majorEastAsia" w:hAnsi="Arial" w:cstheme="majorBidi"/>
          <w:bCs/>
          <w:noProof/>
          <w:sz w:val="28"/>
          <w:szCs w:val="26"/>
        </w:rPr>
      </w:sdtEndPr>
      <w:sdtContent>
        <w:p w14:paraId="71DBE2F6" w14:textId="6AEF2FCA" w:rsidR="00CB4D51" w:rsidRPr="00CB4D51" w:rsidRDefault="00CB4D51" w:rsidP="00102383">
          <w:pPr>
            <w:pStyle w:val="TOCHeading"/>
            <w:spacing w:line="240" w:lineRule="auto"/>
            <w:jc w:val="center"/>
            <w:rPr>
              <w:rStyle w:val="Heading2Char"/>
              <w:color w:val="000000" w:themeColor="text1"/>
            </w:rPr>
          </w:pPr>
          <w:r w:rsidRPr="00CB4D51">
            <w:rPr>
              <w:rStyle w:val="Heading2Char"/>
              <w:color w:val="000000" w:themeColor="text1"/>
            </w:rPr>
            <w:t>Contents</w:t>
          </w:r>
        </w:p>
        <w:p w14:paraId="005FDA83" w14:textId="08A9D44B" w:rsidR="00683BE4" w:rsidRDefault="00CB4D51">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r>
            <w:fldChar w:fldCharType="begin"/>
          </w:r>
          <w:r>
            <w:instrText xml:space="preserve"> TOC \o "1-3" \h \z \u </w:instrText>
          </w:r>
          <w:r>
            <w:fldChar w:fldCharType="separate"/>
          </w:r>
          <w:hyperlink w:anchor="_Toc172013878" w:history="1">
            <w:r w:rsidR="00683BE4" w:rsidRPr="00915A39">
              <w:rPr>
                <w:rStyle w:val="Hyperlink"/>
                <w:noProof/>
              </w:rPr>
              <w:t>Abbreviations in this section</w:t>
            </w:r>
            <w:r w:rsidR="00683BE4">
              <w:rPr>
                <w:noProof/>
                <w:webHidden/>
              </w:rPr>
              <w:tab/>
            </w:r>
            <w:r w:rsidR="00683BE4">
              <w:rPr>
                <w:noProof/>
                <w:webHidden/>
              </w:rPr>
              <w:fldChar w:fldCharType="begin"/>
            </w:r>
            <w:r w:rsidR="00683BE4">
              <w:rPr>
                <w:noProof/>
                <w:webHidden/>
              </w:rPr>
              <w:instrText xml:space="preserve"> PAGEREF _Toc172013878 \h </w:instrText>
            </w:r>
            <w:r w:rsidR="00683BE4">
              <w:rPr>
                <w:noProof/>
                <w:webHidden/>
              </w:rPr>
            </w:r>
            <w:r w:rsidR="00683BE4">
              <w:rPr>
                <w:noProof/>
                <w:webHidden/>
              </w:rPr>
              <w:fldChar w:fldCharType="separate"/>
            </w:r>
            <w:r w:rsidR="00683BE4">
              <w:rPr>
                <w:noProof/>
                <w:webHidden/>
              </w:rPr>
              <w:t>3</w:t>
            </w:r>
            <w:r w:rsidR="00683BE4">
              <w:rPr>
                <w:noProof/>
                <w:webHidden/>
              </w:rPr>
              <w:fldChar w:fldCharType="end"/>
            </w:r>
          </w:hyperlink>
        </w:p>
        <w:p w14:paraId="784E9047" w14:textId="4CEE7A6A"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79" w:history="1">
            <w:r w:rsidR="00683BE4" w:rsidRPr="00915A39">
              <w:rPr>
                <w:rStyle w:val="Hyperlink"/>
                <w:noProof/>
                <w:lang w:val="en-GB"/>
              </w:rPr>
              <w:t>The Office for Students</w:t>
            </w:r>
            <w:r w:rsidR="00683BE4">
              <w:rPr>
                <w:noProof/>
                <w:webHidden/>
              </w:rPr>
              <w:tab/>
            </w:r>
            <w:r w:rsidR="00683BE4">
              <w:rPr>
                <w:noProof/>
                <w:webHidden/>
              </w:rPr>
              <w:fldChar w:fldCharType="begin"/>
            </w:r>
            <w:r w:rsidR="00683BE4">
              <w:rPr>
                <w:noProof/>
                <w:webHidden/>
              </w:rPr>
              <w:instrText xml:space="preserve"> PAGEREF _Toc172013879 \h </w:instrText>
            </w:r>
            <w:r w:rsidR="00683BE4">
              <w:rPr>
                <w:noProof/>
                <w:webHidden/>
              </w:rPr>
            </w:r>
            <w:r w:rsidR="00683BE4">
              <w:rPr>
                <w:noProof/>
                <w:webHidden/>
              </w:rPr>
              <w:fldChar w:fldCharType="separate"/>
            </w:r>
            <w:r w:rsidR="00683BE4">
              <w:rPr>
                <w:noProof/>
                <w:webHidden/>
              </w:rPr>
              <w:t>4</w:t>
            </w:r>
            <w:r w:rsidR="00683BE4">
              <w:rPr>
                <w:noProof/>
                <w:webHidden/>
              </w:rPr>
              <w:fldChar w:fldCharType="end"/>
            </w:r>
          </w:hyperlink>
        </w:p>
        <w:p w14:paraId="7901F8F0" w14:textId="46EF000E"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0" w:history="1">
            <w:r w:rsidR="00683BE4" w:rsidRPr="00915A39">
              <w:rPr>
                <w:rStyle w:val="Hyperlink"/>
                <w:noProof/>
                <w:lang w:val="en-GB"/>
              </w:rPr>
              <w:t>The Designated Quality Body</w:t>
            </w:r>
            <w:r w:rsidR="00683BE4">
              <w:rPr>
                <w:noProof/>
                <w:webHidden/>
              </w:rPr>
              <w:tab/>
            </w:r>
            <w:r w:rsidR="00683BE4">
              <w:rPr>
                <w:noProof/>
                <w:webHidden/>
              </w:rPr>
              <w:fldChar w:fldCharType="begin"/>
            </w:r>
            <w:r w:rsidR="00683BE4">
              <w:rPr>
                <w:noProof/>
                <w:webHidden/>
              </w:rPr>
              <w:instrText xml:space="preserve"> PAGEREF _Toc172013880 \h </w:instrText>
            </w:r>
            <w:r w:rsidR="00683BE4">
              <w:rPr>
                <w:noProof/>
                <w:webHidden/>
              </w:rPr>
            </w:r>
            <w:r w:rsidR="00683BE4">
              <w:rPr>
                <w:noProof/>
                <w:webHidden/>
              </w:rPr>
              <w:fldChar w:fldCharType="separate"/>
            </w:r>
            <w:r w:rsidR="00683BE4">
              <w:rPr>
                <w:noProof/>
                <w:webHidden/>
              </w:rPr>
              <w:t>7</w:t>
            </w:r>
            <w:r w:rsidR="00683BE4">
              <w:rPr>
                <w:noProof/>
                <w:webHidden/>
              </w:rPr>
              <w:fldChar w:fldCharType="end"/>
            </w:r>
          </w:hyperlink>
        </w:p>
        <w:p w14:paraId="5BB8153C" w14:textId="08958FEA"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1" w:history="1">
            <w:r w:rsidR="00683BE4" w:rsidRPr="00915A39">
              <w:rPr>
                <w:rStyle w:val="Hyperlink"/>
                <w:noProof/>
              </w:rPr>
              <w:t>The UK Quality Code</w:t>
            </w:r>
            <w:r w:rsidR="00683BE4">
              <w:rPr>
                <w:noProof/>
                <w:webHidden/>
              </w:rPr>
              <w:tab/>
            </w:r>
            <w:r w:rsidR="00683BE4">
              <w:rPr>
                <w:noProof/>
                <w:webHidden/>
              </w:rPr>
              <w:fldChar w:fldCharType="begin"/>
            </w:r>
            <w:r w:rsidR="00683BE4">
              <w:rPr>
                <w:noProof/>
                <w:webHidden/>
              </w:rPr>
              <w:instrText xml:space="preserve"> PAGEREF _Toc172013881 \h </w:instrText>
            </w:r>
            <w:r w:rsidR="00683BE4">
              <w:rPr>
                <w:noProof/>
                <w:webHidden/>
              </w:rPr>
            </w:r>
            <w:r w:rsidR="00683BE4">
              <w:rPr>
                <w:noProof/>
                <w:webHidden/>
              </w:rPr>
              <w:fldChar w:fldCharType="separate"/>
            </w:r>
            <w:r w:rsidR="00683BE4">
              <w:rPr>
                <w:noProof/>
                <w:webHidden/>
              </w:rPr>
              <w:t>7</w:t>
            </w:r>
            <w:r w:rsidR="00683BE4">
              <w:rPr>
                <w:noProof/>
                <w:webHidden/>
              </w:rPr>
              <w:fldChar w:fldCharType="end"/>
            </w:r>
          </w:hyperlink>
        </w:p>
        <w:p w14:paraId="401376FD" w14:textId="42CD91F4"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2" w:history="1">
            <w:r w:rsidR="00683BE4" w:rsidRPr="00915A39">
              <w:rPr>
                <w:rStyle w:val="Hyperlink"/>
                <w:noProof/>
                <w:lang w:val="en-GB"/>
              </w:rPr>
              <w:t>Review of Higher Education</w:t>
            </w:r>
            <w:r w:rsidR="00683BE4">
              <w:rPr>
                <w:noProof/>
                <w:webHidden/>
              </w:rPr>
              <w:tab/>
            </w:r>
            <w:r w:rsidR="00683BE4">
              <w:rPr>
                <w:noProof/>
                <w:webHidden/>
              </w:rPr>
              <w:fldChar w:fldCharType="begin"/>
            </w:r>
            <w:r w:rsidR="00683BE4">
              <w:rPr>
                <w:noProof/>
                <w:webHidden/>
              </w:rPr>
              <w:instrText xml:space="preserve"> PAGEREF _Toc172013882 \h </w:instrText>
            </w:r>
            <w:r w:rsidR="00683BE4">
              <w:rPr>
                <w:noProof/>
                <w:webHidden/>
              </w:rPr>
            </w:r>
            <w:r w:rsidR="00683BE4">
              <w:rPr>
                <w:noProof/>
                <w:webHidden/>
              </w:rPr>
              <w:fldChar w:fldCharType="separate"/>
            </w:r>
            <w:r w:rsidR="00683BE4">
              <w:rPr>
                <w:noProof/>
                <w:webHidden/>
              </w:rPr>
              <w:t>10</w:t>
            </w:r>
            <w:r w:rsidR="00683BE4">
              <w:rPr>
                <w:noProof/>
                <w:webHidden/>
              </w:rPr>
              <w:fldChar w:fldCharType="end"/>
            </w:r>
          </w:hyperlink>
        </w:p>
        <w:p w14:paraId="45C899BB" w14:textId="353523E3"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3" w:history="1">
            <w:r w:rsidR="00683BE4" w:rsidRPr="00915A39">
              <w:rPr>
                <w:rStyle w:val="Hyperlink"/>
                <w:noProof/>
              </w:rPr>
              <w:t>General monitoring</w:t>
            </w:r>
            <w:r w:rsidR="00683BE4">
              <w:rPr>
                <w:noProof/>
                <w:webHidden/>
              </w:rPr>
              <w:tab/>
            </w:r>
            <w:r w:rsidR="00683BE4">
              <w:rPr>
                <w:noProof/>
                <w:webHidden/>
              </w:rPr>
              <w:fldChar w:fldCharType="begin"/>
            </w:r>
            <w:r w:rsidR="00683BE4">
              <w:rPr>
                <w:noProof/>
                <w:webHidden/>
              </w:rPr>
              <w:instrText xml:space="preserve"> PAGEREF _Toc172013883 \h </w:instrText>
            </w:r>
            <w:r w:rsidR="00683BE4">
              <w:rPr>
                <w:noProof/>
                <w:webHidden/>
              </w:rPr>
            </w:r>
            <w:r w:rsidR="00683BE4">
              <w:rPr>
                <w:noProof/>
                <w:webHidden/>
              </w:rPr>
              <w:fldChar w:fldCharType="separate"/>
            </w:r>
            <w:r w:rsidR="00683BE4">
              <w:rPr>
                <w:noProof/>
                <w:webHidden/>
              </w:rPr>
              <w:t>10</w:t>
            </w:r>
            <w:r w:rsidR="00683BE4">
              <w:rPr>
                <w:noProof/>
                <w:webHidden/>
              </w:rPr>
              <w:fldChar w:fldCharType="end"/>
            </w:r>
          </w:hyperlink>
        </w:p>
        <w:p w14:paraId="3BBE8243" w14:textId="2E31FA40"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4" w:history="1">
            <w:r w:rsidR="00683BE4" w:rsidRPr="00915A39">
              <w:rPr>
                <w:rStyle w:val="Hyperlink"/>
                <w:noProof/>
              </w:rPr>
              <w:t>Random Sampling</w:t>
            </w:r>
            <w:r w:rsidR="00683BE4">
              <w:rPr>
                <w:noProof/>
                <w:webHidden/>
              </w:rPr>
              <w:tab/>
            </w:r>
            <w:r w:rsidR="00683BE4">
              <w:rPr>
                <w:noProof/>
                <w:webHidden/>
              </w:rPr>
              <w:fldChar w:fldCharType="begin"/>
            </w:r>
            <w:r w:rsidR="00683BE4">
              <w:rPr>
                <w:noProof/>
                <w:webHidden/>
              </w:rPr>
              <w:instrText xml:space="preserve"> PAGEREF _Toc172013884 \h </w:instrText>
            </w:r>
            <w:r w:rsidR="00683BE4">
              <w:rPr>
                <w:noProof/>
                <w:webHidden/>
              </w:rPr>
            </w:r>
            <w:r w:rsidR="00683BE4">
              <w:rPr>
                <w:noProof/>
                <w:webHidden/>
              </w:rPr>
              <w:fldChar w:fldCharType="separate"/>
            </w:r>
            <w:r w:rsidR="00683BE4">
              <w:rPr>
                <w:noProof/>
                <w:webHidden/>
              </w:rPr>
              <w:t>11</w:t>
            </w:r>
            <w:r w:rsidR="00683BE4">
              <w:rPr>
                <w:noProof/>
                <w:webHidden/>
              </w:rPr>
              <w:fldChar w:fldCharType="end"/>
            </w:r>
          </w:hyperlink>
        </w:p>
        <w:p w14:paraId="16980A53" w14:textId="69BDB996"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5" w:history="1">
            <w:r w:rsidR="00683BE4" w:rsidRPr="00915A39">
              <w:rPr>
                <w:rStyle w:val="Hyperlink"/>
                <w:noProof/>
                <w:lang w:val="en-GB"/>
              </w:rPr>
              <w:t>Alternative Providers</w:t>
            </w:r>
            <w:r w:rsidR="00683BE4">
              <w:rPr>
                <w:noProof/>
                <w:webHidden/>
              </w:rPr>
              <w:tab/>
            </w:r>
            <w:r w:rsidR="00683BE4">
              <w:rPr>
                <w:noProof/>
                <w:webHidden/>
              </w:rPr>
              <w:fldChar w:fldCharType="begin"/>
            </w:r>
            <w:r w:rsidR="00683BE4">
              <w:rPr>
                <w:noProof/>
                <w:webHidden/>
              </w:rPr>
              <w:instrText xml:space="preserve"> PAGEREF _Toc172013885 \h </w:instrText>
            </w:r>
            <w:r w:rsidR="00683BE4">
              <w:rPr>
                <w:noProof/>
                <w:webHidden/>
              </w:rPr>
            </w:r>
            <w:r w:rsidR="00683BE4">
              <w:rPr>
                <w:noProof/>
                <w:webHidden/>
              </w:rPr>
              <w:fldChar w:fldCharType="separate"/>
            </w:r>
            <w:r w:rsidR="00683BE4">
              <w:rPr>
                <w:noProof/>
                <w:webHidden/>
              </w:rPr>
              <w:t>11</w:t>
            </w:r>
            <w:r w:rsidR="00683BE4">
              <w:rPr>
                <w:noProof/>
                <w:webHidden/>
              </w:rPr>
              <w:fldChar w:fldCharType="end"/>
            </w:r>
          </w:hyperlink>
        </w:p>
        <w:p w14:paraId="61D0DEA7" w14:textId="5CB3CDC0"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6" w:history="1">
            <w:r w:rsidR="00683BE4" w:rsidRPr="00915A39">
              <w:rPr>
                <w:rStyle w:val="Hyperlink"/>
                <w:noProof/>
                <w:lang w:val="en-GB"/>
              </w:rPr>
              <w:t>Information to Students</w:t>
            </w:r>
            <w:r w:rsidR="00683BE4">
              <w:rPr>
                <w:noProof/>
                <w:webHidden/>
              </w:rPr>
              <w:tab/>
            </w:r>
            <w:r w:rsidR="00683BE4">
              <w:rPr>
                <w:noProof/>
                <w:webHidden/>
              </w:rPr>
              <w:fldChar w:fldCharType="begin"/>
            </w:r>
            <w:r w:rsidR="00683BE4">
              <w:rPr>
                <w:noProof/>
                <w:webHidden/>
              </w:rPr>
              <w:instrText xml:space="preserve"> PAGEREF _Toc172013886 \h </w:instrText>
            </w:r>
            <w:r w:rsidR="00683BE4">
              <w:rPr>
                <w:noProof/>
                <w:webHidden/>
              </w:rPr>
            </w:r>
            <w:r w:rsidR="00683BE4">
              <w:rPr>
                <w:noProof/>
                <w:webHidden/>
              </w:rPr>
              <w:fldChar w:fldCharType="separate"/>
            </w:r>
            <w:r w:rsidR="00683BE4">
              <w:rPr>
                <w:noProof/>
                <w:webHidden/>
              </w:rPr>
              <w:t>11</w:t>
            </w:r>
            <w:r w:rsidR="00683BE4">
              <w:rPr>
                <w:noProof/>
                <w:webHidden/>
              </w:rPr>
              <w:fldChar w:fldCharType="end"/>
            </w:r>
          </w:hyperlink>
        </w:p>
        <w:p w14:paraId="24FA97F8" w14:textId="2FA23E16"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7" w:history="1">
            <w:r w:rsidR="00683BE4" w:rsidRPr="00915A39">
              <w:rPr>
                <w:rStyle w:val="Hyperlink"/>
                <w:noProof/>
                <w:lang w:val="en-GB"/>
              </w:rPr>
              <w:t>Unistats Data Collection</w:t>
            </w:r>
            <w:r w:rsidR="00683BE4">
              <w:rPr>
                <w:noProof/>
                <w:webHidden/>
              </w:rPr>
              <w:tab/>
            </w:r>
            <w:r w:rsidR="00683BE4">
              <w:rPr>
                <w:noProof/>
                <w:webHidden/>
              </w:rPr>
              <w:fldChar w:fldCharType="begin"/>
            </w:r>
            <w:r w:rsidR="00683BE4">
              <w:rPr>
                <w:noProof/>
                <w:webHidden/>
              </w:rPr>
              <w:instrText xml:space="preserve"> PAGEREF _Toc172013887 \h </w:instrText>
            </w:r>
            <w:r w:rsidR="00683BE4">
              <w:rPr>
                <w:noProof/>
                <w:webHidden/>
              </w:rPr>
            </w:r>
            <w:r w:rsidR="00683BE4">
              <w:rPr>
                <w:noProof/>
                <w:webHidden/>
              </w:rPr>
              <w:fldChar w:fldCharType="separate"/>
            </w:r>
            <w:r w:rsidR="00683BE4">
              <w:rPr>
                <w:noProof/>
                <w:webHidden/>
              </w:rPr>
              <w:t>12</w:t>
            </w:r>
            <w:r w:rsidR="00683BE4">
              <w:rPr>
                <w:noProof/>
                <w:webHidden/>
              </w:rPr>
              <w:fldChar w:fldCharType="end"/>
            </w:r>
          </w:hyperlink>
        </w:p>
        <w:p w14:paraId="3CA4BCC4" w14:textId="1FC598D9"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8" w:history="1">
            <w:r w:rsidR="00683BE4" w:rsidRPr="00915A39">
              <w:rPr>
                <w:rStyle w:val="Hyperlink"/>
                <w:noProof/>
              </w:rPr>
              <w:t>External Examiner Reports</w:t>
            </w:r>
            <w:r w:rsidR="00683BE4">
              <w:rPr>
                <w:noProof/>
                <w:webHidden/>
              </w:rPr>
              <w:tab/>
            </w:r>
            <w:r w:rsidR="00683BE4">
              <w:rPr>
                <w:noProof/>
                <w:webHidden/>
              </w:rPr>
              <w:fldChar w:fldCharType="begin"/>
            </w:r>
            <w:r w:rsidR="00683BE4">
              <w:rPr>
                <w:noProof/>
                <w:webHidden/>
              </w:rPr>
              <w:instrText xml:space="preserve"> PAGEREF _Toc172013888 \h </w:instrText>
            </w:r>
            <w:r w:rsidR="00683BE4">
              <w:rPr>
                <w:noProof/>
                <w:webHidden/>
              </w:rPr>
            </w:r>
            <w:r w:rsidR="00683BE4">
              <w:rPr>
                <w:noProof/>
                <w:webHidden/>
              </w:rPr>
              <w:fldChar w:fldCharType="separate"/>
            </w:r>
            <w:r w:rsidR="00683BE4">
              <w:rPr>
                <w:noProof/>
                <w:webHidden/>
              </w:rPr>
              <w:t>12</w:t>
            </w:r>
            <w:r w:rsidR="00683BE4">
              <w:rPr>
                <w:noProof/>
                <w:webHidden/>
              </w:rPr>
              <w:fldChar w:fldCharType="end"/>
            </w:r>
          </w:hyperlink>
        </w:p>
        <w:p w14:paraId="16EA8379" w14:textId="1EC0EC22"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89" w:history="1">
            <w:r w:rsidR="00683BE4" w:rsidRPr="00915A39">
              <w:rPr>
                <w:rStyle w:val="Hyperlink"/>
                <w:noProof/>
                <w:lang w:val="en-GB"/>
              </w:rPr>
              <w:t>Assessing the quality and standards of Initial Teacher Education (OFSTED Inspection)</w:t>
            </w:r>
            <w:r w:rsidR="00683BE4">
              <w:rPr>
                <w:noProof/>
                <w:webHidden/>
              </w:rPr>
              <w:tab/>
            </w:r>
            <w:r w:rsidR="00683BE4">
              <w:rPr>
                <w:noProof/>
                <w:webHidden/>
              </w:rPr>
              <w:fldChar w:fldCharType="begin"/>
            </w:r>
            <w:r w:rsidR="00683BE4">
              <w:rPr>
                <w:noProof/>
                <w:webHidden/>
              </w:rPr>
              <w:instrText xml:space="preserve"> PAGEREF _Toc172013889 \h </w:instrText>
            </w:r>
            <w:r w:rsidR="00683BE4">
              <w:rPr>
                <w:noProof/>
                <w:webHidden/>
              </w:rPr>
            </w:r>
            <w:r w:rsidR="00683BE4">
              <w:rPr>
                <w:noProof/>
                <w:webHidden/>
              </w:rPr>
              <w:fldChar w:fldCharType="separate"/>
            </w:r>
            <w:r w:rsidR="00683BE4">
              <w:rPr>
                <w:noProof/>
                <w:webHidden/>
              </w:rPr>
              <w:t>12</w:t>
            </w:r>
            <w:r w:rsidR="00683BE4">
              <w:rPr>
                <w:noProof/>
                <w:webHidden/>
              </w:rPr>
              <w:fldChar w:fldCharType="end"/>
            </w:r>
          </w:hyperlink>
        </w:p>
        <w:p w14:paraId="3DC26B62" w14:textId="07D279B9"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0" w:history="1">
            <w:r w:rsidR="00683BE4" w:rsidRPr="00915A39">
              <w:rPr>
                <w:rStyle w:val="Hyperlink"/>
                <w:noProof/>
              </w:rPr>
              <w:t>Introduction</w:t>
            </w:r>
            <w:r w:rsidR="00683BE4">
              <w:rPr>
                <w:noProof/>
                <w:webHidden/>
              </w:rPr>
              <w:tab/>
            </w:r>
            <w:r w:rsidR="00683BE4">
              <w:rPr>
                <w:noProof/>
                <w:webHidden/>
              </w:rPr>
              <w:fldChar w:fldCharType="begin"/>
            </w:r>
            <w:r w:rsidR="00683BE4">
              <w:rPr>
                <w:noProof/>
                <w:webHidden/>
              </w:rPr>
              <w:instrText xml:space="preserve"> PAGEREF _Toc172013890 \h </w:instrText>
            </w:r>
            <w:r w:rsidR="00683BE4">
              <w:rPr>
                <w:noProof/>
                <w:webHidden/>
              </w:rPr>
            </w:r>
            <w:r w:rsidR="00683BE4">
              <w:rPr>
                <w:noProof/>
                <w:webHidden/>
              </w:rPr>
              <w:fldChar w:fldCharType="separate"/>
            </w:r>
            <w:r w:rsidR="00683BE4">
              <w:rPr>
                <w:noProof/>
                <w:webHidden/>
              </w:rPr>
              <w:t>12</w:t>
            </w:r>
            <w:r w:rsidR="00683BE4">
              <w:rPr>
                <w:noProof/>
                <w:webHidden/>
              </w:rPr>
              <w:fldChar w:fldCharType="end"/>
            </w:r>
          </w:hyperlink>
        </w:p>
        <w:p w14:paraId="669E71CE" w14:textId="1C2F061A"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1" w:history="1">
            <w:r w:rsidR="00683BE4" w:rsidRPr="00915A39">
              <w:rPr>
                <w:rStyle w:val="Hyperlink"/>
                <w:noProof/>
              </w:rPr>
              <w:t>Purposes of inspection</w:t>
            </w:r>
            <w:r w:rsidR="00683BE4">
              <w:rPr>
                <w:noProof/>
                <w:webHidden/>
              </w:rPr>
              <w:tab/>
            </w:r>
            <w:r w:rsidR="00683BE4">
              <w:rPr>
                <w:noProof/>
                <w:webHidden/>
              </w:rPr>
              <w:fldChar w:fldCharType="begin"/>
            </w:r>
            <w:r w:rsidR="00683BE4">
              <w:rPr>
                <w:noProof/>
                <w:webHidden/>
              </w:rPr>
              <w:instrText xml:space="preserve"> PAGEREF _Toc172013891 \h </w:instrText>
            </w:r>
            <w:r w:rsidR="00683BE4">
              <w:rPr>
                <w:noProof/>
                <w:webHidden/>
              </w:rPr>
            </w:r>
            <w:r w:rsidR="00683BE4">
              <w:rPr>
                <w:noProof/>
                <w:webHidden/>
              </w:rPr>
              <w:fldChar w:fldCharType="separate"/>
            </w:r>
            <w:r w:rsidR="00683BE4">
              <w:rPr>
                <w:noProof/>
                <w:webHidden/>
              </w:rPr>
              <w:t>12</w:t>
            </w:r>
            <w:r w:rsidR="00683BE4">
              <w:rPr>
                <w:noProof/>
                <w:webHidden/>
              </w:rPr>
              <w:fldChar w:fldCharType="end"/>
            </w:r>
          </w:hyperlink>
        </w:p>
        <w:p w14:paraId="6780D88E" w14:textId="094C4E45"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2" w:history="1">
            <w:r w:rsidR="00683BE4" w:rsidRPr="00915A39">
              <w:rPr>
                <w:rStyle w:val="Hyperlink"/>
                <w:noProof/>
              </w:rPr>
              <w:t>Judging the Quality of ITE</w:t>
            </w:r>
            <w:r w:rsidR="00683BE4">
              <w:rPr>
                <w:noProof/>
                <w:webHidden/>
              </w:rPr>
              <w:tab/>
            </w:r>
            <w:r w:rsidR="00683BE4">
              <w:rPr>
                <w:noProof/>
                <w:webHidden/>
              </w:rPr>
              <w:fldChar w:fldCharType="begin"/>
            </w:r>
            <w:r w:rsidR="00683BE4">
              <w:rPr>
                <w:noProof/>
                <w:webHidden/>
              </w:rPr>
              <w:instrText xml:space="preserve"> PAGEREF _Toc172013892 \h </w:instrText>
            </w:r>
            <w:r w:rsidR="00683BE4">
              <w:rPr>
                <w:noProof/>
                <w:webHidden/>
              </w:rPr>
            </w:r>
            <w:r w:rsidR="00683BE4">
              <w:rPr>
                <w:noProof/>
                <w:webHidden/>
              </w:rPr>
              <w:fldChar w:fldCharType="separate"/>
            </w:r>
            <w:r w:rsidR="00683BE4">
              <w:rPr>
                <w:noProof/>
                <w:webHidden/>
              </w:rPr>
              <w:t>13</w:t>
            </w:r>
            <w:r w:rsidR="00683BE4">
              <w:rPr>
                <w:noProof/>
                <w:webHidden/>
              </w:rPr>
              <w:fldChar w:fldCharType="end"/>
            </w:r>
          </w:hyperlink>
        </w:p>
        <w:p w14:paraId="5500AEEE" w14:textId="51788A70"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3" w:history="1">
            <w:r w:rsidR="00683BE4" w:rsidRPr="00915A39">
              <w:rPr>
                <w:rStyle w:val="Hyperlink"/>
                <w:noProof/>
              </w:rPr>
              <w:t>The Reporting Process</w:t>
            </w:r>
            <w:r w:rsidR="00683BE4">
              <w:rPr>
                <w:noProof/>
                <w:webHidden/>
              </w:rPr>
              <w:tab/>
            </w:r>
            <w:r w:rsidR="00683BE4">
              <w:rPr>
                <w:noProof/>
                <w:webHidden/>
              </w:rPr>
              <w:fldChar w:fldCharType="begin"/>
            </w:r>
            <w:r w:rsidR="00683BE4">
              <w:rPr>
                <w:noProof/>
                <w:webHidden/>
              </w:rPr>
              <w:instrText xml:space="preserve"> PAGEREF _Toc172013893 \h </w:instrText>
            </w:r>
            <w:r w:rsidR="00683BE4">
              <w:rPr>
                <w:noProof/>
                <w:webHidden/>
              </w:rPr>
            </w:r>
            <w:r w:rsidR="00683BE4">
              <w:rPr>
                <w:noProof/>
                <w:webHidden/>
              </w:rPr>
              <w:fldChar w:fldCharType="separate"/>
            </w:r>
            <w:r w:rsidR="00683BE4">
              <w:rPr>
                <w:noProof/>
                <w:webHidden/>
              </w:rPr>
              <w:t>13</w:t>
            </w:r>
            <w:r w:rsidR="00683BE4">
              <w:rPr>
                <w:noProof/>
                <w:webHidden/>
              </w:rPr>
              <w:fldChar w:fldCharType="end"/>
            </w:r>
          </w:hyperlink>
        </w:p>
        <w:p w14:paraId="1643B728" w14:textId="46AC77EE" w:rsidR="00683BE4" w:rsidRDefault="00EE7474">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4" w:history="1">
            <w:r w:rsidR="00683BE4" w:rsidRPr="00915A39">
              <w:rPr>
                <w:rStyle w:val="Hyperlink"/>
                <w:noProof/>
                <w:lang w:val="en-GB"/>
              </w:rPr>
              <w:t>Procedures relating to BTEC fields/courses</w:t>
            </w:r>
            <w:r w:rsidR="00683BE4">
              <w:rPr>
                <w:noProof/>
                <w:webHidden/>
              </w:rPr>
              <w:tab/>
            </w:r>
            <w:r w:rsidR="00683BE4">
              <w:rPr>
                <w:noProof/>
                <w:webHidden/>
              </w:rPr>
              <w:fldChar w:fldCharType="begin"/>
            </w:r>
            <w:r w:rsidR="00683BE4">
              <w:rPr>
                <w:noProof/>
                <w:webHidden/>
              </w:rPr>
              <w:instrText xml:space="preserve"> PAGEREF _Toc172013894 \h </w:instrText>
            </w:r>
            <w:r w:rsidR="00683BE4">
              <w:rPr>
                <w:noProof/>
                <w:webHidden/>
              </w:rPr>
            </w:r>
            <w:r w:rsidR="00683BE4">
              <w:rPr>
                <w:noProof/>
                <w:webHidden/>
              </w:rPr>
              <w:fldChar w:fldCharType="separate"/>
            </w:r>
            <w:r w:rsidR="00683BE4">
              <w:rPr>
                <w:noProof/>
                <w:webHidden/>
              </w:rPr>
              <w:t>13</w:t>
            </w:r>
            <w:r w:rsidR="00683BE4">
              <w:rPr>
                <w:noProof/>
                <w:webHidden/>
              </w:rPr>
              <w:fldChar w:fldCharType="end"/>
            </w:r>
          </w:hyperlink>
        </w:p>
        <w:p w14:paraId="3ED63314" w14:textId="0C0DFE99"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5" w:history="1">
            <w:r w:rsidR="00683BE4" w:rsidRPr="00915A39">
              <w:rPr>
                <w:rStyle w:val="Hyperlink"/>
                <w:noProof/>
              </w:rPr>
              <w:t>Pearson Licence Agreement</w:t>
            </w:r>
            <w:r w:rsidR="00683BE4">
              <w:rPr>
                <w:noProof/>
                <w:webHidden/>
              </w:rPr>
              <w:tab/>
            </w:r>
            <w:r w:rsidR="00683BE4">
              <w:rPr>
                <w:noProof/>
                <w:webHidden/>
              </w:rPr>
              <w:fldChar w:fldCharType="begin"/>
            </w:r>
            <w:r w:rsidR="00683BE4">
              <w:rPr>
                <w:noProof/>
                <w:webHidden/>
              </w:rPr>
              <w:instrText xml:space="preserve"> PAGEREF _Toc172013895 \h </w:instrText>
            </w:r>
            <w:r w:rsidR="00683BE4">
              <w:rPr>
                <w:noProof/>
                <w:webHidden/>
              </w:rPr>
            </w:r>
            <w:r w:rsidR="00683BE4">
              <w:rPr>
                <w:noProof/>
                <w:webHidden/>
              </w:rPr>
              <w:fldChar w:fldCharType="separate"/>
            </w:r>
            <w:r w:rsidR="00683BE4">
              <w:rPr>
                <w:noProof/>
                <w:webHidden/>
              </w:rPr>
              <w:t>13</w:t>
            </w:r>
            <w:r w:rsidR="00683BE4">
              <w:rPr>
                <w:noProof/>
                <w:webHidden/>
              </w:rPr>
              <w:fldChar w:fldCharType="end"/>
            </w:r>
          </w:hyperlink>
        </w:p>
        <w:p w14:paraId="3A724CEC" w14:textId="5D27AFED"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6" w:history="1">
            <w:r w:rsidR="00683BE4" w:rsidRPr="00915A39">
              <w:rPr>
                <w:rStyle w:val="Hyperlink"/>
                <w:noProof/>
              </w:rPr>
              <w:t>Validation/Substantive Review</w:t>
            </w:r>
            <w:r w:rsidR="00683BE4">
              <w:rPr>
                <w:noProof/>
                <w:webHidden/>
              </w:rPr>
              <w:tab/>
            </w:r>
            <w:r w:rsidR="00683BE4">
              <w:rPr>
                <w:noProof/>
                <w:webHidden/>
              </w:rPr>
              <w:fldChar w:fldCharType="begin"/>
            </w:r>
            <w:r w:rsidR="00683BE4">
              <w:rPr>
                <w:noProof/>
                <w:webHidden/>
              </w:rPr>
              <w:instrText xml:space="preserve"> PAGEREF _Toc172013896 \h </w:instrText>
            </w:r>
            <w:r w:rsidR="00683BE4">
              <w:rPr>
                <w:noProof/>
                <w:webHidden/>
              </w:rPr>
            </w:r>
            <w:r w:rsidR="00683BE4">
              <w:rPr>
                <w:noProof/>
                <w:webHidden/>
              </w:rPr>
              <w:fldChar w:fldCharType="separate"/>
            </w:r>
            <w:r w:rsidR="00683BE4">
              <w:rPr>
                <w:noProof/>
                <w:webHidden/>
              </w:rPr>
              <w:t>14</w:t>
            </w:r>
            <w:r w:rsidR="00683BE4">
              <w:rPr>
                <w:noProof/>
                <w:webHidden/>
              </w:rPr>
              <w:fldChar w:fldCharType="end"/>
            </w:r>
          </w:hyperlink>
        </w:p>
        <w:p w14:paraId="4DFDDE96" w14:textId="417196AD"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7" w:history="1">
            <w:r w:rsidR="00683BE4" w:rsidRPr="00915A39">
              <w:rPr>
                <w:rStyle w:val="Hyperlink"/>
                <w:noProof/>
              </w:rPr>
              <w:t>Collaborative Arrangements</w:t>
            </w:r>
            <w:r w:rsidR="00683BE4">
              <w:rPr>
                <w:noProof/>
                <w:webHidden/>
              </w:rPr>
              <w:tab/>
            </w:r>
            <w:r w:rsidR="00683BE4">
              <w:rPr>
                <w:noProof/>
                <w:webHidden/>
              </w:rPr>
              <w:fldChar w:fldCharType="begin"/>
            </w:r>
            <w:r w:rsidR="00683BE4">
              <w:rPr>
                <w:noProof/>
                <w:webHidden/>
              </w:rPr>
              <w:instrText xml:space="preserve"> PAGEREF _Toc172013897 \h </w:instrText>
            </w:r>
            <w:r w:rsidR="00683BE4">
              <w:rPr>
                <w:noProof/>
                <w:webHidden/>
              </w:rPr>
            </w:r>
            <w:r w:rsidR="00683BE4">
              <w:rPr>
                <w:noProof/>
                <w:webHidden/>
              </w:rPr>
              <w:fldChar w:fldCharType="separate"/>
            </w:r>
            <w:r w:rsidR="00683BE4">
              <w:rPr>
                <w:noProof/>
                <w:webHidden/>
              </w:rPr>
              <w:t>14</w:t>
            </w:r>
            <w:r w:rsidR="00683BE4">
              <w:rPr>
                <w:noProof/>
                <w:webHidden/>
              </w:rPr>
              <w:fldChar w:fldCharType="end"/>
            </w:r>
          </w:hyperlink>
        </w:p>
        <w:p w14:paraId="1F510D11" w14:textId="70DDE8CC"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8" w:history="1">
            <w:r w:rsidR="00683BE4" w:rsidRPr="00915A39">
              <w:rPr>
                <w:rStyle w:val="Hyperlink"/>
                <w:noProof/>
              </w:rPr>
              <w:t>Annual Institutional Review Report</w:t>
            </w:r>
            <w:r w:rsidR="00683BE4">
              <w:rPr>
                <w:noProof/>
                <w:webHidden/>
              </w:rPr>
              <w:tab/>
            </w:r>
            <w:r w:rsidR="00683BE4">
              <w:rPr>
                <w:noProof/>
                <w:webHidden/>
              </w:rPr>
              <w:fldChar w:fldCharType="begin"/>
            </w:r>
            <w:r w:rsidR="00683BE4">
              <w:rPr>
                <w:noProof/>
                <w:webHidden/>
              </w:rPr>
              <w:instrText xml:space="preserve"> PAGEREF _Toc172013898 \h </w:instrText>
            </w:r>
            <w:r w:rsidR="00683BE4">
              <w:rPr>
                <w:noProof/>
                <w:webHidden/>
              </w:rPr>
            </w:r>
            <w:r w:rsidR="00683BE4">
              <w:rPr>
                <w:noProof/>
                <w:webHidden/>
              </w:rPr>
              <w:fldChar w:fldCharType="separate"/>
            </w:r>
            <w:r w:rsidR="00683BE4">
              <w:rPr>
                <w:noProof/>
                <w:webHidden/>
              </w:rPr>
              <w:t>14</w:t>
            </w:r>
            <w:r w:rsidR="00683BE4">
              <w:rPr>
                <w:noProof/>
                <w:webHidden/>
              </w:rPr>
              <w:fldChar w:fldCharType="end"/>
            </w:r>
          </w:hyperlink>
        </w:p>
        <w:p w14:paraId="036F0039" w14:textId="651BB563"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899" w:history="1">
            <w:r w:rsidR="00683BE4" w:rsidRPr="00915A39">
              <w:rPr>
                <w:rStyle w:val="Hyperlink"/>
                <w:noProof/>
              </w:rPr>
              <w:t>External Examiners</w:t>
            </w:r>
            <w:r w:rsidR="00683BE4">
              <w:rPr>
                <w:noProof/>
                <w:webHidden/>
              </w:rPr>
              <w:tab/>
            </w:r>
            <w:r w:rsidR="00683BE4">
              <w:rPr>
                <w:noProof/>
                <w:webHidden/>
              </w:rPr>
              <w:fldChar w:fldCharType="begin"/>
            </w:r>
            <w:r w:rsidR="00683BE4">
              <w:rPr>
                <w:noProof/>
                <w:webHidden/>
              </w:rPr>
              <w:instrText xml:space="preserve"> PAGEREF _Toc172013899 \h </w:instrText>
            </w:r>
            <w:r w:rsidR="00683BE4">
              <w:rPr>
                <w:noProof/>
                <w:webHidden/>
              </w:rPr>
            </w:r>
            <w:r w:rsidR="00683BE4">
              <w:rPr>
                <w:noProof/>
                <w:webHidden/>
              </w:rPr>
              <w:fldChar w:fldCharType="separate"/>
            </w:r>
            <w:r w:rsidR="00683BE4">
              <w:rPr>
                <w:noProof/>
                <w:webHidden/>
              </w:rPr>
              <w:t>14</w:t>
            </w:r>
            <w:r w:rsidR="00683BE4">
              <w:rPr>
                <w:noProof/>
                <w:webHidden/>
              </w:rPr>
              <w:fldChar w:fldCharType="end"/>
            </w:r>
          </w:hyperlink>
        </w:p>
        <w:p w14:paraId="54684347" w14:textId="6DA12208" w:rsidR="00683BE4" w:rsidRDefault="00EE7474">
          <w:pPr>
            <w:pStyle w:val="TOC3"/>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72013900" w:history="1">
            <w:r w:rsidR="00683BE4" w:rsidRPr="00915A39">
              <w:rPr>
                <w:rStyle w:val="Hyperlink"/>
                <w:noProof/>
              </w:rPr>
              <w:t>Pearson’s University Principal Examiner</w:t>
            </w:r>
            <w:r w:rsidR="00683BE4">
              <w:rPr>
                <w:noProof/>
                <w:webHidden/>
              </w:rPr>
              <w:tab/>
            </w:r>
            <w:r w:rsidR="00683BE4">
              <w:rPr>
                <w:noProof/>
                <w:webHidden/>
              </w:rPr>
              <w:fldChar w:fldCharType="begin"/>
            </w:r>
            <w:r w:rsidR="00683BE4">
              <w:rPr>
                <w:noProof/>
                <w:webHidden/>
              </w:rPr>
              <w:instrText xml:space="preserve"> PAGEREF _Toc172013900 \h </w:instrText>
            </w:r>
            <w:r w:rsidR="00683BE4">
              <w:rPr>
                <w:noProof/>
                <w:webHidden/>
              </w:rPr>
            </w:r>
            <w:r w:rsidR="00683BE4">
              <w:rPr>
                <w:noProof/>
                <w:webHidden/>
              </w:rPr>
              <w:fldChar w:fldCharType="separate"/>
            </w:r>
            <w:r w:rsidR="00683BE4">
              <w:rPr>
                <w:noProof/>
                <w:webHidden/>
              </w:rPr>
              <w:t>14</w:t>
            </w:r>
            <w:r w:rsidR="00683BE4">
              <w:rPr>
                <w:noProof/>
                <w:webHidden/>
              </w:rPr>
              <w:fldChar w:fldCharType="end"/>
            </w:r>
          </w:hyperlink>
        </w:p>
        <w:p w14:paraId="5E6065A1" w14:textId="3EE9D9F4" w:rsidR="000F17FB" w:rsidRDefault="00CB4D51" w:rsidP="00102383">
          <w:pPr>
            <w:pStyle w:val="Heading2"/>
            <w:rPr>
              <w:b w:val="0"/>
              <w:bCs/>
              <w:noProof/>
            </w:rPr>
          </w:pPr>
          <w:r>
            <w:rPr>
              <w:b w:val="0"/>
              <w:bCs/>
              <w:noProof/>
            </w:rPr>
            <w:fldChar w:fldCharType="end"/>
          </w:r>
        </w:p>
      </w:sdtContent>
    </w:sdt>
    <w:p w14:paraId="5C52F854" w14:textId="77777777" w:rsidR="00102383" w:rsidRDefault="00102383" w:rsidP="002336C1">
      <w:pPr>
        <w:pStyle w:val="Heading2"/>
        <w:sectPr w:rsidR="00102383" w:rsidSect="00DF7797">
          <w:headerReference w:type="default" r:id="rId12"/>
          <w:footerReference w:type="default" r:id="rId13"/>
          <w:pgSz w:w="11906" w:h="16838"/>
          <w:pgMar w:top="1440" w:right="1440" w:bottom="1440" w:left="1440" w:header="708" w:footer="708" w:gutter="0"/>
          <w:cols w:space="708"/>
          <w:docGrid w:linePitch="360"/>
        </w:sectPr>
      </w:pPr>
    </w:p>
    <w:p w14:paraId="264AB7EA" w14:textId="3E6907E3" w:rsidR="00085BCF" w:rsidRPr="00E14651" w:rsidRDefault="00DF7797" w:rsidP="002336C1">
      <w:pPr>
        <w:pStyle w:val="Heading2"/>
      </w:pPr>
      <w:bookmarkStart w:id="2" w:name="_Toc172013878"/>
      <w:r w:rsidRPr="00E2197C">
        <w:lastRenderedPageBreak/>
        <w:t>Abbreviations in this section</w:t>
      </w:r>
      <w:bookmarkEnd w:id="2"/>
      <w:r w:rsidRPr="00E2197C">
        <w:t xml:space="preserve"> </w:t>
      </w:r>
    </w:p>
    <w:tbl>
      <w:tblPr>
        <w:tblStyle w:val="TableGrid"/>
        <w:tblW w:w="9209" w:type="dxa"/>
        <w:tblLook w:val="04A0" w:firstRow="1" w:lastRow="0" w:firstColumn="1" w:lastColumn="0" w:noHBand="0" w:noVBand="1"/>
      </w:tblPr>
      <w:tblGrid>
        <w:gridCol w:w="2334"/>
        <w:gridCol w:w="6875"/>
      </w:tblGrid>
      <w:tr w:rsidR="0027368C" w:rsidRPr="00085BCF" w14:paraId="48C3E420" w14:textId="77777777" w:rsidTr="004C0F73">
        <w:tc>
          <w:tcPr>
            <w:tcW w:w="2334" w:type="dxa"/>
          </w:tcPr>
          <w:p w14:paraId="3AE6AEAE" w14:textId="77777777" w:rsidR="0027368C" w:rsidRDefault="0027368C" w:rsidP="002336C1">
            <w:pPr>
              <w:spacing w:before="0" w:after="0" w:line="240" w:lineRule="auto"/>
              <w:rPr>
                <w:lang w:val="en-GB"/>
              </w:rPr>
            </w:pPr>
            <w:r>
              <w:rPr>
                <w:lang w:val="en-GB"/>
              </w:rPr>
              <w:t>AP</w:t>
            </w:r>
          </w:p>
        </w:tc>
        <w:tc>
          <w:tcPr>
            <w:tcW w:w="6875" w:type="dxa"/>
          </w:tcPr>
          <w:p w14:paraId="1DD32875" w14:textId="5598C4BC" w:rsidR="0027368C" w:rsidRDefault="0027368C" w:rsidP="002336C1">
            <w:pPr>
              <w:spacing w:before="0" w:after="0" w:line="240" w:lineRule="auto"/>
              <w:rPr>
                <w:lang w:val="en-GB"/>
              </w:rPr>
            </w:pPr>
            <w:r>
              <w:rPr>
                <w:lang w:val="en-GB"/>
              </w:rPr>
              <w:t>Alternative Provider</w:t>
            </w:r>
          </w:p>
        </w:tc>
      </w:tr>
      <w:tr w:rsidR="001C0D20" w:rsidRPr="00085BCF" w14:paraId="27BB4E97" w14:textId="77777777" w:rsidTr="004C0F73">
        <w:tc>
          <w:tcPr>
            <w:tcW w:w="2334" w:type="dxa"/>
          </w:tcPr>
          <w:p w14:paraId="417CD73D" w14:textId="77777777" w:rsidR="001C0D20" w:rsidRPr="006654CA" w:rsidRDefault="001C0D20" w:rsidP="002336C1">
            <w:pPr>
              <w:spacing w:before="0" w:after="0" w:line="240" w:lineRule="auto"/>
              <w:rPr>
                <w:lang w:val="en-GB"/>
              </w:rPr>
            </w:pPr>
            <w:r w:rsidRPr="008B0E27">
              <w:rPr>
                <w:lang w:val="en-GB"/>
              </w:rPr>
              <w:t>AQS</w:t>
            </w:r>
            <w:r w:rsidRPr="006654CA">
              <w:rPr>
                <w:lang w:val="en-GB"/>
              </w:rPr>
              <w:t>H</w:t>
            </w:r>
            <w:r w:rsidRPr="006654CA">
              <w:rPr>
                <w:lang w:val="en-GB"/>
              </w:rPr>
              <w:tab/>
            </w:r>
            <w:r w:rsidRPr="006654CA">
              <w:rPr>
                <w:lang w:val="en-GB"/>
              </w:rPr>
              <w:tab/>
            </w:r>
          </w:p>
        </w:tc>
        <w:tc>
          <w:tcPr>
            <w:tcW w:w="6875" w:type="dxa"/>
          </w:tcPr>
          <w:p w14:paraId="35415DE1" w14:textId="60C05329" w:rsidR="001C0D20" w:rsidRPr="006654CA" w:rsidRDefault="001C0D20" w:rsidP="002336C1">
            <w:pPr>
              <w:spacing w:before="0" w:after="0" w:line="240" w:lineRule="auto"/>
              <w:rPr>
                <w:lang w:val="en-GB"/>
              </w:rPr>
            </w:pPr>
            <w:r w:rsidRPr="006654CA">
              <w:rPr>
                <w:lang w:val="en-GB"/>
              </w:rPr>
              <w:t>Academic Quality and Standards Handbook</w:t>
            </w:r>
          </w:p>
        </w:tc>
      </w:tr>
      <w:tr w:rsidR="001C0D20" w:rsidRPr="00085BCF" w14:paraId="49B4327D" w14:textId="77777777" w:rsidTr="004C0F73">
        <w:tc>
          <w:tcPr>
            <w:tcW w:w="2334" w:type="dxa"/>
          </w:tcPr>
          <w:p w14:paraId="57C2C621" w14:textId="77777777" w:rsidR="001C0D20" w:rsidRPr="006654CA" w:rsidRDefault="001C0D20" w:rsidP="002336C1">
            <w:pPr>
              <w:spacing w:before="0" w:after="0" w:line="240" w:lineRule="auto"/>
              <w:rPr>
                <w:lang w:val="en-GB"/>
              </w:rPr>
            </w:pPr>
            <w:r w:rsidRPr="006654CA">
              <w:rPr>
                <w:lang w:val="en-GB"/>
              </w:rPr>
              <w:t>BTEC</w:t>
            </w:r>
            <w:r w:rsidRPr="006654CA">
              <w:rPr>
                <w:lang w:val="en-GB"/>
              </w:rPr>
              <w:tab/>
            </w:r>
            <w:r w:rsidRPr="006654CA">
              <w:rPr>
                <w:lang w:val="en-GB"/>
              </w:rPr>
              <w:tab/>
            </w:r>
          </w:p>
        </w:tc>
        <w:tc>
          <w:tcPr>
            <w:tcW w:w="6875" w:type="dxa"/>
          </w:tcPr>
          <w:p w14:paraId="03E3800D" w14:textId="4D433731" w:rsidR="001C0D20" w:rsidRPr="006654CA" w:rsidRDefault="001C0D20" w:rsidP="002336C1">
            <w:pPr>
              <w:spacing w:before="0" w:after="0" w:line="240" w:lineRule="auto"/>
              <w:rPr>
                <w:lang w:val="en-GB"/>
              </w:rPr>
            </w:pPr>
            <w:r w:rsidRPr="006654CA">
              <w:rPr>
                <w:lang w:val="en-GB"/>
              </w:rPr>
              <w:t>Business and Technology Education Council</w:t>
            </w:r>
          </w:p>
        </w:tc>
      </w:tr>
      <w:tr w:rsidR="0027368C" w:rsidRPr="00085BCF" w14:paraId="2EAFFBDA" w14:textId="77777777" w:rsidTr="004C0F73">
        <w:tc>
          <w:tcPr>
            <w:tcW w:w="2334" w:type="dxa"/>
          </w:tcPr>
          <w:p w14:paraId="2101AEFE" w14:textId="77777777" w:rsidR="0027368C" w:rsidRDefault="0027368C" w:rsidP="002336C1">
            <w:pPr>
              <w:spacing w:before="0" w:after="0" w:line="240" w:lineRule="auto"/>
              <w:rPr>
                <w:lang w:val="en-GB"/>
              </w:rPr>
            </w:pPr>
            <w:r>
              <w:rPr>
                <w:lang w:val="en-GB"/>
              </w:rPr>
              <w:t>CMA</w:t>
            </w:r>
          </w:p>
        </w:tc>
        <w:tc>
          <w:tcPr>
            <w:tcW w:w="6875" w:type="dxa"/>
          </w:tcPr>
          <w:p w14:paraId="017633DB" w14:textId="26A930D6" w:rsidR="0027368C" w:rsidRDefault="0027368C" w:rsidP="002336C1">
            <w:pPr>
              <w:spacing w:before="0" w:after="0" w:line="240" w:lineRule="auto"/>
              <w:rPr>
                <w:lang w:val="en-GB"/>
              </w:rPr>
            </w:pPr>
            <w:r>
              <w:rPr>
                <w:lang w:val="en-GB"/>
              </w:rPr>
              <w:t>Competition and Markets Authority</w:t>
            </w:r>
          </w:p>
        </w:tc>
      </w:tr>
      <w:tr w:rsidR="0027368C" w:rsidRPr="00085BCF" w14:paraId="7808878E" w14:textId="77777777" w:rsidTr="004C0F73">
        <w:tc>
          <w:tcPr>
            <w:tcW w:w="2334" w:type="dxa"/>
          </w:tcPr>
          <w:p w14:paraId="305DA2E1" w14:textId="77777777" w:rsidR="0027368C" w:rsidRDefault="0027368C" w:rsidP="002336C1">
            <w:pPr>
              <w:spacing w:before="0" w:after="0" w:line="240" w:lineRule="auto"/>
              <w:rPr>
                <w:lang w:val="en-GB"/>
              </w:rPr>
            </w:pPr>
            <w:r>
              <w:rPr>
                <w:lang w:val="en-GB"/>
              </w:rPr>
              <w:t>DfE</w:t>
            </w:r>
          </w:p>
        </w:tc>
        <w:tc>
          <w:tcPr>
            <w:tcW w:w="6875" w:type="dxa"/>
          </w:tcPr>
          <w:p w14:paraId="59C51020" w14:textId="43C35A02" w:rsidR="0027368C" w:rsidRDefault="0027368C" w:rsidP="002336C1">
            <w:pPr>
              <w:spacing w:before="0" w:after="0" w:line="240" w:lineRule="auto"/>
              <w:rPr>
                <w:lang w:val="en-GB"/>
              </w:rPr>
            </w:pPr>
            <w:r>
              <w:rPr>
                <w:lang w:val="en-GB"/>
              </w:rPr>
              <w:t>Department for Education</w:t>
            </w:r>
          </w:p>
        </w:tc>
      </w:tr>
      <w:tr w:rsidR="0027368C" w:rsidRPr="00085BCF" w14:paraId="77D01D37" w14:textId="77777777" w:rsidTr="004C0F73">
        <w:tc>
          <w:tcPr>
            <w:tcW w:w="2334" w:type="dxa"/>
          </w:tcPr>
          <w:p w14:paraId="7A4558B4" w14:textId="64F25028" w:rsidR="0027368C" w:rsidRPr="006654CA" w:rsidRDefault="001E737A" w:rsidP="002336C1">
            <w:pPr>
              <w:spacing w:before="0" w:after="0" w:line="240" w:lineRule="auto"/>
              <w:rPr>
                <w:lang w:val="en-GB"/>
              </w:rPr>
            </w:pPr>
            <w:r>
              <w:rPr>
                <w:lang w:val="en-GB"/>
              </w:rPr>
              <w:t>GO</w:t>
            </w:r>
          </w:p>
        </w:tc>
        <w:tc>
          <w:tcPr>
            <w:tcW w:w="6875" w:type="dxa"/>
          </w:tcPr>
          <w:p w14:paraId="42D81CA7" w14:textId="3860D784" w:rsidR="00CC5C88" w:rsidRPr="006654CA" w:rsidRDefault="001E737A" w:rsidP="002336C1">
            <w:pPr>
              <w:spacing w:before="0" w:after="0" w:line="240" w:lineRule="auto"/>
              <w:rPr>
                <w:lang w:val="en-GB"/>
              </w:rPr>
            </w:pPr>
            <w:r>
              <w:rPr>
                <w:lang w:val="en-GB"/>
              </w:rPr>
              <w:t>Graduate Outcomes</w:t>
            </w:r>
          </w:p>
        </w:tc>
      </w:tr>
      <w:tr w:rsidR="0027368C" w:rsidRPr="00085BCF" w14:paraId="5BD8D802" w14:textId="77777777" w:rsidTr="004C0F73">
        <w:tc>
          <w:tcPr>
            <w:tcW w:w="2334" w:type="dxa"/>
          </w:tcPr>
          <w:p w14:paraId="05FDAC10" w14:textId="77777777" w:rsidR="0027368C" w:rsidRDefault="0027368C" w:rsidP="002336C1">
            <w:pPr>
              <w:spacing w:before="0" w:after="0" w:line="240" w:lineRule="auto"/>
              <w:rPr>
                <w:lang w:val="en-GB"/>
              </w:rPr>
            </w:pPr>
            <w:r>
              <w:rPr>
                <w:lang w:val="en-GB"/>
              </w:rPr>
              <w:t>HEAPES</w:t>
            </w:r>
          </w:p>
        </w:tc>
        <w:tc>
          <w:tcPr>
            <w:tcW w:w="6875" w:type="dxa"/>
          </w:tcPr>
          <w:p w14:paraId="7DA5C739" w14:textId="7638C628" w:rsidR="0027368C" w:rsidRDefault="0027368C" w:rsidP="002336C1">
            <w:pPr>
              <w:spacing w:before="0" w:after="0" w:line="240" w:lineRule="auto"/>
              <w:rPr>
                <w:lang w:val="en-GB"/>
              </w:rPr>
            </w:pPr>
            <w:r>
              <w:rPr>
                <w:lang w:val="en-GB"/>
              </w:rPr>
              <w:t xml:space="preserve">Higher Education in Alternative Providers Early Statistics </w:t>
            </w:r>
          </w:p>
        </w:tc>
      </w:tr>
      <w:tr w:rsidR="008B0E27" w:rsidRPr="00085BCF" w14:paraId="62AA1D00" w14:textId="77777777" w:rsidTr="004C0F73">
        <w:tc>
          <w:tcPr>
            <w:tcW w:w="2334" w:type="dxa"/>
          </w:tcPr>
          <w:p w14:paraId="4B2B628E" w14:textId="77777777" w:rsidR="008B0E27" w:rsidRPr="006654CA" w:rsidRDefault="008B0E27" w:rsidP="002336C1">
            <w:pPr>
              <w:spacing w:before="0" w:after="0" w:line="240" w:lineRule="auto"/>
              <w:rPr>
                <w:lang w:val="en-GB"/>
              </w:rPr>
            </w:pPr>
            <w:r>
              <w:rPr>
                <w:lang w:val="en-GB"/>
              </w:rPr>
              <w:t>HESA</w:t>
            </w:r>
          </w:p>
        </w:tc>
        <w:tc>
          <w:tcPr>
            <w:tcW w:w="6875" w:type="dxa"/>
          </w:tcPr>
          <w:p w14:paraId="31C4B6EB" w14:textId="7B16D940" w:rsidR="008B0E27" w:rsidRPr="006654CA" w:rsidRDefault="008B0E27" w:rsidP="002336C1">
            <w:pPr>
              <w:spacing w:before="0" w:after="0" w:line="240" w:lineRule="auto"/>
              <w:rPr>
                <w:lang w:val="en-GB"/>
              </w:rPr>
            </w:pPr>
            <w:r>
              <w:rPr>
                <w:lang w:val="en-GB"/>
              </w:rPr>
              <w:t>Higher Education Statistics Agency</w:t>
            </w:r>
          </w:p>
        </w:tc>
      </w:tr>
      <w:tr w:rsidR="001C0D20" w:rsidRPr="00085BCF" w14:paraId="2B8C271E" w14:textId="77777777" w:rsidTr="004C0F73">
        <w:tc>
          <w:tcPr>
            <w:tcW w:w="2334" w:type="dxa"/>
          </w:tcPr>
          <w:p w14:paraId="56BAAACB" w14:textId="77777777" w:rsidR="001C0D20" w:rsidRPr="006654CA" w:rsidRDefault="001C0D20" w:rsidP="002336C1">
            <w:pPr>
              <w:spacing w:before="0" w:after="0" w:line="240" w:lineRule="auto"/>
              <w:rPr>
                <w:lang w:val="en-GB"/>
              </w:rPr>
            </w:pPr>
            <w:r w:rsidRPr="006654CA">
              <w:rPr>
                <w:lang w:val="en-GB"/>
              </w:rPr>
              <w:t>ITE</w:t>
            </w:r>
            <w:r w:rsidRPr="006654CA">
              <w:rPr>
                <w:lang w:val="en-GB"/>
              </w:rPr>
              <w:tab/>
            </w:r>
            <w:r w:rsidRPr="006654CA">
              <w:rPr>
                <w:lang w:val="en-GB"/>
              </w:rPr>
              <w:tab/>
            </w:r>
          </w:p>
        </w:tc>
        <w:tc>
          <w:tcPr>
            <w:tcW w:w="6875" w:type="dxa"/>
          </w:tcPr>
          <w:p w14:paraId="288904DC" w14:textId="345E8CDC" w:rsidR="001C0D20" w:rsidRPr="006654CA" w:rsidRDefault="001C0D20" w:rsidP="002336C1">
            <w:pPr>
              <w:spacing w:before="0" w:after="0" w:line="240" w:lineRule="auto"/>
              <w:rPr>
                <w:lang w:val="en-GB"/>
              </w:rPr>
            </w:pPr>
            <w:r w:rsidRPr="006654CA">
              <w:rPr>
                <w:lang w:val="en-GB"/>
              </w:rPr>
              <w:t>Initial Teacher Education</w:t>
            </w:r>
          </w:p>
        </w:tc>
      </w:tr>
      <w:tr w:rsidR="001C0D20" w:rsidRPr="00085BCF" w14:paraId="68D2A1FA" w14:textId="77777777" w:rsidTr="004C0F73">
        <w:tc>
          <w:tcPr>
            <w:tcW w:w="2334" w:type="dxa"/>
          </w:tcPr>
          <w:p w14:paraId="3AC57068" w14:textId="77777777" w:rsidR="001C0D20" w:rsidRPr="006654CA" w:rsidRDefault="001C0D20" w:rsidP="002336C1">
            <w:pPr>
              <w:spacing w:before="0" w:after="0" w:line="240" w:lineRule="auto"/>
              <w:rPr>
                <w:lang w:val="en-GB"/>
              </w:rPr>
            </w:pPr>
            <w:r w:rsidRPr="006654CA">
              <w:rPr>
                <w:lang w:val="en-GB"/>
              </w:rPr>
              <w:t>KIS</w:t>
            </w:r>
            <w:r w:rsidRPr="006654CA">
              <w:rPr>
                <w:lang w:val="en-GB"/>
              </w:rPr>
              <w:tab/>
            </w:r>
            <w:r w:rsidRPr="006654CA">
              <w:rPr>
                <w:lang w:val="en-GB"/>
              </w:rPr>
              <w:tab/>
            </w:r>
          </w:p>
        </w:tc>
        <w:tc>
          <w:tcPr>
            <w:tcW w:w="6875" w:type="dxa"/>
          </w:tcPr>
          <w:p w14:paraId="2537CD7B" w14:textId="2A4E9051" w:rsidR="001C0D20" w:rsidRPr="006654CA" w:rsidRDefault="001C0D20" w:rsidP="002336C1">
            <w:pPr>
              <w:spacing w:before="0" w:after="0" w:line="240" w:lineRule="auto"/>
              <w:rPr>
                <w:lang w:val="en-GB"/>
              </w:rPr>
            </w:pPr>
            <w:r w:rsidRPr="006654CA">
              <w:rPr>
                <w:lang w:val="en-GB"/>
              </w:rPr>
              <w:t>Key Information Sets</w:t>
            </w:r>
          </w:p>
        </w:tc>
      </w:tr>
      <w:tr w:rsidR="001C0D20" w:rsidRPr="00085BCF" w14:paraId="1D7F08C0" w14:textId="77777777" w:rsidTr="004C0F73">
        <w:tc>
          <w:tcPr>
            <w:tcW w:w="2334" w:type="dxa"/>
          </w:tcPr>
          <w:p w14:paraId="739CD9CB" w14:textId="77777777" w:rsidR="001C0D20" w:rsidRPr="006654CA" w:rsidRDefault="001C0D20" w:rsidP="002336C1">
            <w:pPr>
              <w:spacing w:before="0" w:after="0" w:line="240" w:lineRule="auto"/>
              <w:rPr>
                <w:lang w:val="en-GB"/>
              </w:rPr>
            </w:pPr>
            <w:r w:rsidRPr="006654CA">
              <w:rPr>
                <w:lang w:val="en-GB"/>
              </w:rPr>
              <w:t>NSS</w:t>
            </w:r>
            <w:r w:rsidRPr="006654CA">
              <w:rPr>
                <w:lang w:val="en-GB"/>
              </w:rPr>
              <w:tab/>
            </w:r>
            <w:r w:rsidRPr="006654CA">
              <w:rPr>
                <w:lang w:val="en-GB"/>
              </w:rPr>
              <w:tab/>
            </w:r>
          </w:p>
        </w:tc>
        <w:tc>
          <w:tcPr>
            <w:tcW w:w="6875" w:type="dxa"/>
          </w:tcPr>
          <w:p w14:paraId="666DCDDA" w14:textId="23033657" w:rsidR="001C0D20" w:rsidRPr="006654CA" w:rsidRDefault="001C0D20" w:rsidP="002336C1">
            <w:pPr>
              <w:spacing w:before="0" w:after="0" w:line="240" w:lineRule="auto"/>
              <w:rPr>
                <w:lang w:val="en-GB"/>
              </w:rPr>
            </w:pPr>
            <w:r w:rsidRPr="006654CA">
              <w:rPr>
                <w:lang w:val="en-GB"/>
              </w:rPr>
              <w:t>National Student Survey</w:t>
            </w:r>
          </w:p>
        </w:tc>
      </w:tr>
      <w:tr w:rsidR="00BB1722" w:rsidRPr="00085BCF" w14:paraId="08E9C968" w14:textId="77777777" w:rsidTr="004C0F73">
        <w:tc>
          <w:tcPr>
            <w:tcW w:w="2334" w:type="dxa"/>
          </w:tcPr>
          <w:p w14:paraId="4A7D7350" w14:textId="195CCB52" w:rsidR="00BB1722" w:rsidRPr="006654CA" w:rsidRDefault="00BB1722" w:rsidP="002336C1">
            <w:pPr>
              <w:spacing w:before="0" w:after="0" w:line="240" w:lineRule="auto"/>
              <w:rPr>
                <w:lang w:val="en-GB"/>
              </w:rPr>
            </w:pPr>
            <w:r>
              <w:rPr>
                <w:lang w:val="en-GB"/>
              </w:rPr>
              <w:t>OfS</w:t>
            </w:r>
          </w:p>
        </w:tc>
        <w:tc>
          <w:tcPr>
            <w:tcW w:w="6875" w:type="dxa"/>
          </w:tcPr>
          <w:p w14:paraId="49BD9429" w14:textId="4D4862F3" w:rsidR="00BB1722" w:rsidRPr="006654CA" w:rsidRDefault="00BB1722" w:rsidP="002336C1">
            <w:pPr>
              <w:spacing w:before="0" w:after="0" w:line="240" w:lineRule="auto"/>
              <w:rPr>
                <w:lang w:val="en-GB"/>
              </w:rPr>
            </w:pPr>
            <w:r>
              <w:rPr>
                <w:lang w:val="en-GB"/>
              </w:rPr>
              <w:t>Office for Students</w:t>
            </w:r>
          </w:p>
        </w:tc>
      </w:tr>
      <w:tr w:rsidR="001C0D20" w:rsidRPr="00085BCF" w14:paraId="1EAFA0D0" w14:textId="77777777" w:rsidTr="004C0F73">
        <w:tc>
          <w:tcPr>
            <w:tcW w:w="2334" w:type="dxa"/>
          </w:tcPr>
          <w:p w14:paraId="2D7F7E73" w14:textId="77777777" w:rsidR="001C0D20" w:rsidRPr="006654CA" w:rsidRDefault="001C0D20" w:rsidP="002336C1">
            <w:pPr>
              <w:spacing w:before="0" w:after="0" w:line="240" w:lineRule="auto"/>
              <w:rPr>
                <w:lang w:val="en-GB"/>
              </w:rPr>
            </w:pPr>
            <w:r w:rsidRPr="006654CA">
              <w:rPr>
                <w:lang w:val="en-GB"/>
              </w:rPr>
              <w:t>OFSTED</w:t>
            </w:r>
            <w:r w:rsidRPr="006654CA">
              <w:rPr>
                <w:lang w:val="en-GB"/>
              </w:rPr>
              <w:tab/>
            </w:r>
          </w:p>
        </w:tc>
        <w:tc>
          <w:tcPr>
            <w:tcW w:w="6875" w:type="dxa"/>
          </w:tcPr>
          <w:p w14:paraId="452B06C6" w14:textId="6D08D8B8" w:rsidR="00BE433F" w:rsidRPr="006654CA" w:rsidRDefault="001C0D20" w:rsidP="002336C1">
            <w:pPr>
              <w:spacing w:before="0" w:after="0" w:line="240" w:lineRule="auto"/>
              <w:rPr>
                <w:lang w:val="en-GB"/>
              </w:rPr>
            </w:pPr>
            <w:r w:rsidRPr="006654CA">
              <w:rPr>
                <w:lang w:val="en-GB"/>
              </w:rPr>
              <w:t>Office for Standards in Education, Children’s Services and Skills</w:t>
            </w:r>
          </w:p>
        </w:tc>
      </w:tr>
      <w:tr w:rsidR="0027368C" w:rsidRPr="00085BCF" w14:paraId="25457D2D" w14:textId="77777777" w:rsidTr="004C0F73">
        <w:tc>
          <w:tcPr>
            <w:tcW w:w="2334" w:type="dxa"/>
          </w:tcPr>
          <w:p w14:paraId="52B91EF5" w14:textId="77777777" w:rsidR="0027368C" w:rsidRPr="006654CA" w:rsidRDefault="0027368C" w:rsidP="002336C1">
            <w:pPr>
              <w:spacing w:before="0" w:after="0" w:line="240" w:lineRule="auto"/>
              <w:rPr>
                <w:lang w:val="en-GB"/>
              </w:rPr>
            </w:pPr>
            <w:r>
              <w:rPr>
                <w:lang w:val="en-GB"/>
              </w:rPr>
              <w:t>OIA</w:t>
            </w:r>
          </w:p>
        </w:tc>
        <w:tc>
          <w:tcPr>
            <w:tcW w:w="6875" w:type="dxa"/>
          </w:tcPr>
          <w:p w14:paraId="59016326" w14:textId="076EFFE3" w:rsidR="0027368C" w:rsidRPr="006654CA" w:rsidRDefault="0027368C" w:rsidP="002336C1">
            <w:pPr>
              <w:spacing w:before="0" w:after="0" w:line="240" w:lineRule="auto"/>
              <w:rPr>
                <w:lang w:val="en-GB"/>
              </w:rPr>
            </w:pPr>
            <w:r>
              <w:rPr>
                <w:lang w:val="en-GB"/>
              </w:rPr>
              <w:t>Office of the Independent Adjudicator</w:t>
            </w:r>
          </w:p>
        </w:tc>
      </w:tr>
      <w:tr w:rsidR="001C0D20" w:rsidRPr="00085BCF" w14:paraId="40E6F078" w14:textId="77777777" w:rsidTr="004C0F73">
        <w:tc>
          <w:tcPr>
            <w:tcW w:w="2334" w:type="dxa"/>
          </w:tcPr>
          <w:p w14:paraId="75DFEF0D" w14:textId="77777777" w:rsidR="001C0D20" w:rsidRPr="006654CA" w:rsidRDefault="001C0D20" w:rsidP="002336C1">
            <w:pPr>
              <w:spacing w:before="0" w:after="0" w:line="240" w:lineRule="auto"/>
              <w:rPr>
                <w:lang w:val="en-GB"/>
              </w:rPr>
            </w:pPr>
            <w:r w:rsidRPr="006654CA">
              <w:rPr>
                <w:lang w:val="en-GB"/>
              </w:rPr>
              <w:t>PSRB</w:t>
            </w:r>
            <w:r w:rsidRPr="006654CA">
              <w:rPr>
                <w:lang w:val="en-GB"/>
              </w:rPr>
              <w:tab/>
            </w:r>
            <w:r w:rsidRPr="006654CA">
              <w:rPr>
                <w:lang w:val="en-GB"/>
              </w:rPr>
              <w:tab/>
            </w:r>
          </w:p>
        </w:tc>
        <w:tc>
          <w:tcPr>
            <w:tcW w:w="6875" w:type="dxa"/>
          </w:tcPr>
          <w:p w14:paraId="57D5D205" w14:textId="485B5073" w:rsidR="001C0D20" w:rsidRPr="006654CA" w:rsidRDefault="001C0D20" w:rsidP="002336C1">
            <w:pPr>
              <w:spacing w:before="0" w:after="0" w:line="240" w:lineRule="auto"/>
              <w:rPr>
                <w:lang w:val="en-GB"/>
              </w:rPr>
            </w:pPr>
            <w:r w:rsidRPr="006654CA">
              <w:rPr>
                <w:lang w:val="en-GB"/>
              </w:rPr>
              <w:t>Professional, Statutory and/or Regulatory Body</w:t>
            </w:r>
          </w:p>
        </w:tc>
      </w:tr>
      <w:tr w:rsidR="001C0D20" w:rsidRPr="00085BCF" w14:paraId="78DC9EF3" w14:textId="77777777" w:rsidTr="004C0F73">
        <w:tc>
          <w:tcPr>
            <w:tcW w:w="2334" w:type="dxa"/>
          </w:tcPr>
          <w:p w14:paraId="76A3FF96" w14:textId="77777777" w:rsidR="001C0D20" w:rsidRPr="006654CA" w:rsidRDefault="001C0D20" w:rsidP="002336C1">
            <w:pPr>
              <w:spacing w:before="0" w:after="0" w:line="240" w:lineRule="auto"/>
              <w:rPr>
                <w:lang w:val="en-GB"/>
              </w:rPr>
            </w:pPr>
            <w:r w:rsidRPr="006654CA">
              <w:rPr>
                <w:lang w:val="en-GB"/>
              </w:rPr>
              <w:t>QAA</w:t>
            </w:r>
            <w:r w:rsidRPr="006654CA">
              <w:rPr>
                <w:lang w:val="en-GB"/>
              </w:rPr>
              <w:tab/>
            </w:r>
            <w:r w:rsidRPr="006654CA">
              <w:rPr>
                <w:lang w:val="en-GB"/>
              </w:rPr>
              <w:tab/>
            </w:r>
          </w:p>
        </w:tc>
        <w:tc>
          <w:tcPr>
            <w:tcW w:w="6875" w:type="dxa"/>
          </w:tcPr>
          <w:p w14:paraId="33FC808E" w14:textId="722A3353" w:rsidR="001C0D20" w:rsidRPr="006654CA" w:rsidRDefault="001C0D20" w:rsidP="002336C1">
            <w:pPr>
              <w:spacing w:before="0" w:after="0" w:line="240" w:lineRule="auto"/>
              <w:rPr>
                <w:lang w:val="en-GB"/>
              </w:rPr>
            </w:pPr>
            <w:r w:rsidRPr="006654CA">
              <w:rPr>
                <w:lang w:val="en-GB"/>
              </w:rPr>
              <w:t>Quality Assurance Agency for Higher Education</w:t>
            </w:r>
          </w:p>
        </w:tc>
      </w:tr>
      <w:tr w:rsidR="00DF6FE5" w:rsidRPr="00085BCF" w14:paraId="41119A66" w14:textId="77777777" w:rsidTr="004C0F73">
        <w:tc>
          <w:tcPr>
            <w:tcW w:w="2334" w:type="dxa"/>
          </w:tcPr>
          <w:p w14:paraId="42CAC88A" w14:textId="77777777" w:rsidR="00DF6FE5" w:rsidRPr="006654CA" w:rsidRDefault="00DF6FE5" w:rsidP="002336C1">
            <w:pPr>
              <w:spacing w:before="0" w:after="0" w:line="240" w:lineRule="auto"/>
              <w:rPr>
                <w:lang w:val="en-GB"/>
              </w:rPr>
            </w:pPr>
            <w:r>
              <w:rPr>
                <w:lang w:val="en-GB"/>
              </w:rPr>
              <w:t>QAE</w:t>
            </w:r>
          </w:p>
        </w:tc>
        <w:tc>
          <w:tcPr>
            <w:tcW w:w="6875" w:type="dxa"/>
          </w:tcPr>
          <w:p w14:paraId="4C9D13E8" w14:textId="57FFF867" w:rsidR="00DF6FE5" w:rsidRPr="006654CA" w:rsidRDefault="00DF6FE5" w:rsidP="002336C1">
            <w:pPr>
              <w:spacing w:before="0" w:after="0" w:line="240" w:lineRule="auto"/>
              <w:rPr>
                <w:lang w:val="en-GB"/>
              </w:rPr>
            </w:pPr>
            <w:r>
              <w:rPr>
                <w:lang w:val="en-GB"/>
              </w:rPr>
              <w:t>Quality Assura</w:t>
            </w:r>
            <w:r w:rsidR="00AE3526">
              <w:rPr>
                <w:lang w:val="en-GB"/>
              </w:rPr>
              <w:t xml:space="preserve">nce &amp; Enhancement </w:t>
            </w:r>
          </w:p>
        </w:tc>
      </w:tr>
      <w:tr w:rsidR="001C0D20" w:rsidRPr="00085BCF" w14:paraId="32379381" w14:textId="77777777" w:rsidTr="004C0F73">
        <w:tc>
          <w:tcPr>
            <w:tcW w:w="2334" w:type="dxa"/>
          </w:tcPr>
          <w:p w14:paraId="23DB3023" w14:textId="77777777" w:rsidR="001C0D20" w:rsidRPr="006654CA" w:rsidRDefault="001C0D20" w:rsidP="002336C1">
            <w:pPr>
              <w:spacing w:before="0" w:after="0" w:line="240" w:lineRule="auto"/>
              <w:rPr>
                <w:lang w:val="en-GB"/>
              </w:rPr>
            </w:pPr>
            <w:r w:rsidRPr="006654CA">
              <w:rPr>
                <w:lang w:val="en-GB"/>
              </w:rPr>
              <w:t>QTS</w:t>
            </w:r>
            <w:r w:rsidRPr="006654CA">
              <w:rPr>
                <w:lang w:val="en-GB"/>
              </w:rPr>
              <w:tab/>
            </w:r>
            <w:r w:rsidRPr="006654CA">
              <w:rPr>
                <w:lang w:val="en-GB"/>
              </w:rPr>
              <w:tab/>
            </w:r>
          </w:p>
        </w:tc>
        <w:tc>
          <w:tcPr>
            <w:tcW w:w="6875" w:type="dxa"/>
          </w:tcPr>
          <w:p w14:paraId="6458801C" w14:textId="11E96DFF" w:rsidR="001C0D20" w:rsidRPr="006654CA" w:rsidRDefault="001C0D20" w:rsidP="002336C1">
            <w:pPr>
              <w:spacing w:before="0" w:after="0" w:line="240" w:lineRule="auto"/>
              <w:rPr>
                <w:lang w:val="en-GB"/>
              </w:rPr>
            </w:pPr>
            <w:r w:rsidRPr="006654CA">
              <w:rPr>
                <w:lang w:val="en-GB"/>
              </w:rPr>
              <w:t>Qualified Teacher Status</w:t>
            </w:r>
          </w:p>
        </w:tc>
      </w:tr>
      <w:tr w:rsidR="005F37DF" w:rsidRPr="00085BCF" w14:paraId="49C46365" w14:textId="77777777" w:rsidTr="004C0F73">
        <w:tc>
          <w:tcPr>
            <w:tcW w:w="2334" w:type="dxa"/>
          </w:tcPr>
          <w:p w14:paraId="3D8479CC" w14:textId="3A69D318" w:rsidR="005F37DF" w:rsidRPr="006654CA" w:rsidRDefault="005F37DF" w:rsidP="002336C1">
            <w:pPr>
              <w:spacing w:before="0" w:after="0" w:line="240" w:lineRule="auto"/>
              <w:rPr>
                <w:lang w:val="en-GB"/>
              </w:rPr>
            </w:pPr>
            <w:r>
              <w:rPr>
                <w:lang w:val="en-GB"/>
              </w:rPr>
              <w:t>SVC</w:t>
            </w:r>
          </w:p>
        </w:tc>
        <w:tc>
          <w:tcPr>
            <w:tcW w:w="6875" w:type="dxa"/>
          </w:tcPr>
          <w:p w14:paraId="1E414A19" w14:textId="21352BDC" w:rsidR="005F37DF" w:rsidRPr="006654CA" w:rsidRDefault="005F37DF" w:rsidP="002336C1">
            <w:pPr>
              <w:spacing w:before="0" w:after="0" w:line="240" w:lineRule="auto"/>
              <w:rPr>
                <w:lang w:val="en-GB"/>
              </w:rPr>
            </w:pPr>
            <w:r>
              <w:rPr>
                <w:lang w:val="en-GB"/>
              </w:rPr>
              <w:t>Student Voice Committee</w:t>
            </w:r>
          </w:p>
        </w:tc>
      </w:tr>
      <w:tr w:rsidR="0027368C" w:rsidRPr="00085BCF" w14:paraId="6F711E17" w14:textId="77777777" w:rsidTr="004C0F73">
        <w:tc>
          <w:tcPr>
            <w:tcW w:w="2334" w:type="dxa"/>
          </w:tcPr>
          <w:p w14:paraId="5A96EA6D" w14:textId="77777777" w:rsidR="0027368C" w:rsidRPr="00085BCF" w:rsidRDefault="0027368C" w:rsidP="002336C1">
            <w:pPr>
              <w:spacing w:before="0" w:after="0" w:line="240" w:lineRule="auto"/>
              <w:rPr>
                <w:lang w:val="en-GB"/>
              </w:rPr>
            </w:pPr>
            <w:r>
              <w:rPr>
                <w:lang w:val="en-GB"/>
              </w:rPr>
              <w:t>TEF</w:t>
            </w:r>
          </w:p>
        </w:tc>
        <w:tc>
          <w:tcPr>
            <w:tcW w:w="6875" w:type="dxa"/>
          </w:tcPr>
          <w:p w14:paraId="6B5322F6" w14:textId="469BE547" w:rsidR="0027368C" w:rsidRPr="00085BCF" w:rsidRDefault="0027368C" w:rsidP="002336C1">
            <w:pPr>
              <w:spacing w:before="0" w:after="0" w:line="240" w:lineRule="auto"/>
              <w:rPr>
                <w:lang w:val="en-GB"/>
              </w:rPr>
            </w:pPr>
            <w:r>
              <w:rPr>
                <w:lang w:val="en-GB"/>
              </w:rPr>
              <w:t>Teaching Excellence Framework</w:t>
            </w:r>
          </w:p>
        </w:tc>
      </w:tr>
    </w:tbl>
    <w:p w14:paraId="41F1A990" w14:textId="77777777" w:rsidR="00F601D7" w:rsidRDefault="00F601D7" w:rsidP="002336C1">
      <w:pPr>
        <w:widowControl/>
        <w:spacing w:before="0" w:after="0" w:line="240" w:lineRule="auto"/>
        <w:rPr>
          <w:rFonts w:cs="Arial"/>
          <w:b/>
          <w:sz w:val="28"/>
          <w:szCs w:val="24"/>
          <w:lang w:val="en-GB"/>
        </w:rPr>
      </w:pPr>
    </w:p>
    <w:p w14:paraId="6F02E056" w14:textId="77777777" w:rsidR="00171C9A" w:rsidRDefault="00171C9A" w:rsidP="002336C1">
      <w:pPr>
        <w:spacing w:before="0" w:after="0" w:line="240" w:lineRule="auto"/>
        <w:rPr>
          <w:rFonts w:cs="Arial"/>
          <w:b/>
          <w:sz w:val="28"/>
          <w:szCs w:val="24"/>
          <w:lang w:val="en-GB"/>
        </w:rPr>
      </w:pPr>
    </w:p>
    <w:p w14:paraId="769A1AF6" w14:textId="3BC3459F" w:rsidR="005175EB" w:rsidRPr="00F90518" w:rsidRDefault="0027368C" w:rsidP="002336C1">
      <w:pPr>
        <w:spacing w:before="0" w:after="0" w:line="240" w:lineRule="auto"/>
        <w:rPr>
          <w:rFonts w:cs="Arial"/>
          <w:szCs w:val="21"/>
        </w:rPr>
      </w:pPr>
      <w:r>
        <w:rPr>
          <w:rFonts w:cs="Arial"/>
          <w:b/>
          <w:sz w:val="28"/>
          <w:szCs w:val="24"/>
          <w:lang w:val="en-GB"/>
        </w:rPr>
        <w:br w:type="page"/>
      </w:r>
    </w:p>
    <w:p w14:paraId="29A68F2C" w14:textId="0F2D2997" w:rsidR="00C5204D" w:rsidRPr="00E14651" w:rsidRDefault="00C5204D" w:rsidP="002336C1">
      <w:pPr>
        <w:pStyle w:val="Heading2"/>
        <w:rPr>
          <w:lang w:val="en-GB"/>
        </w:rPr>
      </w:pPr>
      <w:bookmarkStart w:id="3" w:name="_Toc172013879"/>
      <w:r w:rsidRPr="00307F03">
        <w:rPr>
          <w:lang w:val="en-GB"/>
        </w:rPr>
        <w:lastRenderedPageBreak/>
        <w:t>The Office for Student</w:t>
      </w:r>
      <w:r w:rsidR="00E32875">
        <w:rPr>
          <w:lang w:val="en-GB"/>
        </w:rPr>
        <w:t>s</w:t>
      </w:r>
      <w:bookmarkEnd w:id="3"/>
    </w:p>
    <w:p w14:paraId="2DBE0275" w14:textId="7759A7BE" w:rsidR="00694C8B" w:rsidRDefault="00C26F0B" w:rsidP="00FF67D8">
      <w:pPr>
        <w:pStyle w:val="ListParagraph"/>
        <w:numPr>
          <w:ilvl w:val="0"/>
          <w:numId w:val="14"/>
        </w:numPr>
        <w:spacing w:before="0" w:after="0" w:line="240" w:lineRule="auto"/>
        <w:ind w:left="284" w:hanging="284"/>
      </w:pPr>
      <w:r w:rsidRPr="00C26F0B">
        <w:t xml:space="preserve">The </w:t>
      </w:r>
      <w:r w:rsidR="00694C8B">
        <w:t>O</w:t>
      </w:r>
      <w:r w:rsidRPr="00C26F0B">
        <w:t xml:space="preserve">ffice for </w:t>
      </w:r>
      <w:r w:rsidR="00694C8B">
        <w:t>S</w:t>
      </w:r>
      <w:r w:rsidRPr="00C26F0B">
        <w:t>tudent</w:t>
      </w:r>
      <w:r w:rsidR="00694C8B">
        <w:t>s</w:t>
      </w:r>
      <w:r w:rsidRPr="00C26F0B">
        <w:t xml:space="preserve"> </w:t>
      </w:r>
      <w:r w:rsidR="00694C8B">
        <w:t>(OfS)</w:t>
      </w:r>
      <w:r w:rsidR="00873283">
        <w:t xml:space="preserve">, </w:t>
      </w:r>
      <w:r w:rsidR="00BB1722">
        <w:t xml:space="preserve">established </w:t>
      </w:r>
      <w:r w:rsidR="00873283">
        <w:t xml:space="preserve">by the Higher Education and Research Act </w:t>
      </w:r>
      <w:r w:rsidR="00542D19">
        <w:t>of 201</w:t>
      </w:r>
      <w:r w:rsidR="00873283">
        <w:t>7, is the regulator</w:t>
      </w:r>
      <w:r w:rsidRPr="00C26F0B">
        <w:t xml:space="preserve"> </w:t>
      </w:r>
      <w:r w:rsidR="00873283">
        <w:t>of</w:t>
      </w:r>
      <w:r w:rsidRPr="00C26F0B">
        <w:t xml:space="preserve"> higher education providers in England</w:t>
      </w:r>
      <w:r w:rsidR="00307F03">
        <w:t>.</w:t>
      </w:r>
      <w:r w:rsidR="00513554">
        <w:t xml:space="preserve"> </w:t>
      </w:r>
      <w:r w:rsidR="00BB1722">
        <w:t>It</w:t>
      </w:r>
      <w:r w:rsidR="00873283">
        <w:t xml:space="preserve"> </w:t>
      </w:r>
      <w:r w:rsidRPr="00C26F0B">
        <w:t xml:space="preserve">came into operation </w:t>
      </w:r>
      <w:r w:rsidR="00694C8B">
        <w:t xml:space="preserve">on </w:t>
      </w:r>
      <w:r w:rsidRPr="00C26F0B">
        <w:t>the 1</w:t>
      </w:r>
      <w:r w:rsidRPr="00047873">
        <w:rPr>
          <w:vertAlign w:val="superscript"/>
        </w:rPr>
        <w:t>st</w:t>
      </w:r>
      <w:r>
        <w:t xml:space="preserve"> </w:t>
      </w:r>
      <w:r w:rsidRPr="00C26F0B">
        <w:t>of April 2018</w:t>
      </w:r>
      <w:r w:rsidR="00694C8B">
        <w:t>.</w:t>
      </w:r>
    </w:p>
    <w:p w14:paraId="19691728" w14:textId="77777777" w:rsidR="002336C1" w:rsidRDefault="002336C1" w:rsidP="002336C1">
      <w:pPr>
        <w:pStyle w:val="ListParagraph"/>
        <w:spacing w:before="0" w:after="0" w:line="240" w:lineRule="auto"/>
      </w:pPr>
    </w:p>
    <w:p w14:paraId="2775EC59" w14:textId="696316A8" w:rsidR="00873283" w:rsidRDefault="00694C8B" w:rsidP="00FF67D8">
      <w:pPr>
        <w:pStyle w:val="ListParagraph"/>
        <w:numPr>
          <w:ilvl w:val="0"/>
          <w:numId w:val="14"/>
        </w:numPr>
        <w:spacing w:before="0" w:after="0" w:line="240" w:lineRule="auto"/>
        <w:ind w:left="284" w:hanging="284"/>
      </w:pPr>
      <w:r>
        <w:t>The</w:t>
      </w:r>
      <w:r w:rsidR="00E46848">
        <w:t xml:space="preserve"> OfS ha</w:t>
      </w:r>
      <w:r w:rsidR="00BB1722">
        <w:t>s</w:t>
      </w:r>
      <w:r w:rsidR="00E46848">
        <w:t xml:space="preserve"> four primary regulatory objectives:</w:t>
      </w:r>
    </w:p>
    <w:p w14:paraId="6A5FF049" w14:textId="77777777" w:rsidR="002336C1" w:rsidRDefault="002336C1" w:rsidP="002336C1">
      <w:pPr>
        <w:pStyle w:val="ListParagraph"/>
        <w:spacing w:before="0" w:after="0" w:line="240" w:lineRule="auto"/>
      </w:pPr>
    </w:p>
    <w:p w14:paraId="750AAB58" w14:textId="6FAA1120" w:rsidR="00873283" w:rsidRDefault="00873283" w:rsidP="001B5C8F">
      <w:pPr>
        <w:pStyle w:val="ListParagraph"/>
        <w:spacing w:before="0" w:after="0" w:line="240" w:lineRule="auto"/>
      </w:pPr>
      <w:r>
        <w:t>“All students from all backgrounds, and with the ability and desire to undertake higher education:</w:t>
      </w:r>
    </w:p>
    <w:p w14:paraId="355C4462" w14:textId="2FA9CA87" w:rsidR="00873283" w:rsidRDefault="00873283">
      <w:pPr>
        <w:pStyle w:val="ListParagraph"/>
        <w:numPr>
          <w:ilvl w:val="0"/>
          <w:numId w:val="8"/>
        </w:numPr>
        <w:spacing w:before="0" w:after="0" w:line="240" w:lineRule="auto"/>
      </w:pPr>
      <w:r>
        <w:t xml:space="preserve">Are supported to access, </w:t>
      </w:r>
      <w:r w:rsidR="00351628">
        <w:t>succeed</w:t>
      </w:r>
      <w:r>
        <w:t xml:space="preserve"> in, and progress from, higher education.</w:t>
      </w:r>
    </w:p>
    <w:p w14:paraId="2FB82F5B" w14:textId="21A32336" w:rsidR="00873283" w:rsidRDefault="00873283">
      <w:pPr>
        <w:pStyle w:val="ListParagraph"/>
        <w:numPr>
          <w:ilvl w:val="0"/>
          <w:numId w:val="8"/>
        </w:numPr>
        <w:spacing w:before="0" w:after="0" w:line="240" w:lineRule="auto"/>
      </w:pPr>
      <w:r>
        <w:t xml:space="preserve">Receive a </w:t>
      </w:r>
      <w:r w:rsidR="00307F03">
        <w:t>high-quality</w:t>
      </w:r>
      <w:r>
        <w:t xml:space="preserve"> academic experience, and their interests are protected while they </w:t>
      </w:r>
      <w:r w:rsidR="003913E8">
        <w:t>study or</w:t>
      </w:r>
      <w:r>
        <w:t xml:space="preserve"> in the event of provider, campus or course closure.</w:t>
      </w:r>
    </w:p>
    <w:p w14:paraId="47FD8209" w14:textId="77777777" w:rsidR="00873283" w:rsidRDefault="00873283">
      <w:pPr>
        <w:pStyle w:val="ListParagraph"/>
        <w:numPr>
          <w:ilvl w:val="0"/>
          <w:numId w:val="8"/>
        </w:numPr>
        <w:spacing w:before="0" w:after="0" w:line="240" w:lineRule="auto"/>
      </w:pPr>
      <w:r>
        <w:t>Are able to progress into employment or further study, and their qualifications hold their value over time.</w:t>
      </w:r>
    </w:p>
    <w:p w14:paraId="38DED0B0" w14:textId="56805DA7" w:rsidR="00873283" w:rsidRDefault="00873283">
      <w:pPr>
        <w:pStyle w:val="ListParagraph"/>
        <w:numPr>
          <w:ilvl w:val="0"/>
          <w:numId w:val="8"/>
        </w:numPr>
        <w:spacing w:before="0" w:after="0" w:line="240" w:lineRule="auto"/>
      </w:pPr>
      <w:r>
        <w:t>Receive value for money.”</w:t>
      </w:r>
    </w:p>
    <w:p w14:paraId="64B727A9" w14:textId="77777777" w:rsidR="002336C1" w:rsidRPr="002336C1" w:rsidRDefault="002336C1" w:rsidP="002336C1">
      <w:pPr>
        <w:pStyle w:val="ListParagraph"/>
        <w:spacing w:before="0" w:after="0" w:line="240" w:lineRule="auto"/>
      </w:pPr>
    </w:p>
    <w:p w14:paraId="610104F5" w14:textId="03D50909" w:rsidR="00F90518" w:rsidRPr="00E14651" w:rsidRDefault="00BB1722" w:rsidP="00FF67D8">
      <w:pPr>
        <w:pStyle w:val="ListParagraph"/>
        <w:numPr>
          <w:ilvl w:val="0"/>
          <w:numId w:val="14"/>
        </w:numPr>
        <w:spacing w:before="0" w:after="0" w:line="240" w:lineRule="auto"/>
        <w:ind w:left="284" w:hanging="284"/>
      </w:pPr>
      <w:r w:rsidRPr="00047873">
        <w:rPr>
          <w:szCs w:val="24"/>
        </w:rPr>
        <w:t>The</w:t>
      </w:r>
      <w:r>
        <w:t xml:space="preserve"> OfS</w:t>
      </w:r>
      <w:r w:rsidR="004B2EAD" w:rsidRPr="00F90518">
        <w:t xml:space="preserve"> will adopt a risk-based approach</w:t>
      </w:r>
      <w:r w:rsidR="00844FDF" w:rsidRPr="00F90518">
        <w:t xml:space="preserve"> with how they interact with providers</w:t>
      </w:r>
      <w:r w:rsidR="00F90518">
        <w:t xml:space="preserve"> and will </w:t>
      </w:r>
      <w:r w:rsidR="003913E8">
        <w:t>act</w:t>
      </w:r>
      <w:r w:rsidR="00F90518">
        <w:t xml:space="preserve"> </w:t>
      </w:r>
      <w:r w:rsidR="00844FDF" w:rsidRPr="00F90518">
        <w:t>where there is a risk of a breach of condition of registration.</w:t>
      </w:r>
    </w:p>
    <w:p w14:paraId="09F827EB" w14:textId="77777777" w:rsidR="002336C1" w:rsidRDefault="002336C1" w:rsidP="002336C1">
      <w:pPr>
        <w:spacing w:before="0" w:after="0" w:line="240" w:lineRule="auto"/>
        <w:rPr>
          <w:rFonts w:cs="Arial"/>
          <w:b/>
          <w:sz w:val="28"/>
          <w:szCs w:val="24"/>
          <w:lang w:val="en-GB"/>
        </w:rPr>
      </w:pPr>
    </w:p>
    <w:p w14:paraId="6BC04379" w14:textId="61796A84" w:rsidR="00C5204D" w:rsidRDefault="00C5204D" w:rsidP="00AE03CF">
      <w:pPr>
        <w:pStyle w:val="Heading2"/>
      </w:pPr>
      <w:r w:rsidRPr="00307F03">
        <w:t xml:space="preserve">The </w:t>
      </w:r>
      <w:r w:rsidR="00152013" w:rsidRPr="00307F03">
        <w:t xml:space="preserve">OfS </w:t>
      </w:r>
      <w:r w:rsidRPr="00307F03">
        <w:t>Regulatory Framework</w:t>
      </w:r>
    </w:p>
    <w:p w14:paraId="19AF501D" w14:textId="28F314BF" w:rsidR="00F85B33" w:rsidRDefault="00844FDF" w:rsidP="00FF67D8">
      <w:pPr>
        <w:pStyle w:val="ListParagraph"/>
        <w:numPr>
          <w:ilvl w:val="0"/>
          <w:numId w:val="14"/>
        </w:numPr>
        <w:spacing w:before="0" w:after="0" w:line="240" w:lineRule="auto"/>
        <w:ind w:left="284" w:hanging="284"/>
      </w:pPr>
      <w:r w:rsidRPr="00F85B33">
        <w:t xml:space="preserve">The Regulatory Framework </w:t>
      </w:r>
      <w:r w:rsidR="00F85B33" w:rsidRPr="00F85B33">
        <w:t xml:space="preserve">was published </w:t>
      </w:r>
      <w:r w:rsidR="00882B16">
        <w:t xml:space="preserve">by the </w:t>
      </w:r>
      <w:r w:rsidR="00A56B74">
        <w:t xml:space="preserve">OfS </w:t>
      </w:r>
      <w:r w:rsidR="00F85B33" w:rsidRPr="00F85B33">
        <w:t xml:space="preserve">in February 2018 and </w:t>
      </w:r>
      <w:r w:rsidR="00422D4F">
        <w:t>was</w:t>
      </w:r>
      <w:r w:rsidR="00F85B33" w:rsidRPr="00F85B33">
        <w:t xml:space="preserve"> fully implemented from 1 August 2019</w:t>
      </w:r>
      <w:r w:rsidR="00307F03" w:rsidRPr="00F85B33">
        <w:t xml:space="preserve">. </w:t>
      </w:r>
      <w:r w:rsidR="00F85B33" w:rsidRPr="00F85B33">
        <w:t xml:space="preserve">It </w:t>
      </w:r>
      <w:r w:rsidR="00F90518">
        <w:t>has been</w:t>
      </w:r>
      <w:r w:rsidR="00F85B33" w:rsidRPr="00F85B33">
        <w:t xml:space="preserve"> designed to mitigate the risk that the primary objectives (listed above) are not met.</w:t>
      </w:r>
    </w:p>
    <w:p w14:paraId="38AB463F" w14:textId="77777777" w:rsidR="002336C1" w:rsidRDefault="002336C1" w:rsidP="002336C1">
      <w:pPr>
        <w:pStyle w:val="ListParagraph"/>
        <w:spacing w:before="0" w:after="0" w:line="240" w:lineRule="auto"/>
      </w:pPr>
    </w:p>
    <w:p w14:paraId="48573F96" w14:textId="10200D4F" w:rsidR="00542D19" w:rsidRDefault="00F85B33" w:rsidP="00FF67D8">
      <w:pPr>
        <w:pStyle w:val="ListParagraph"/>
        <w:numPr>
          <w:ilvl w:val="0"/>
          <w:numId w:val="14"/>
        </w:numPr>
        <w:spacing w:before="0" w:after="0" w:line="240" w:lineRule="auto"/>
        <w:ind w:left="284" w:hanging="284"/>
      </w:pPr>
      <w:r>
        <w:t xml:space="preserve">The Framework regulates at sector level </w:t>
      </w:r>
      <w:r w:rsidR="00F90518">
        <w:t xml:space="preserve">and </w:t>
      </w:r>
      <w:r w:rsidR="00542D19" w:rsidRPr="00F90518">
        <w:t>will focus on creating the conditions for informed choice, competition and continuous improvement</w:t>
      </w:r>
      <w:r w:rsidR="00307F03" w:rsidRPr="00F90518">
        <w:t xml:space="preserve">.  </w:t>
      </w:r>
      <w:r w:rsidR="00542D19" w:rsidRPr="00F90518">
        <w:t xml:space="preserve">This includes: </w:t>
      </w:r>
    </w:p>
    <w:p w14:paraId="562F2E7D" w14:textId="77777777" w:rsidR="00542D19" w:rsidRDefault="00542D19">
      <w:pPr>
        <w:pStyle w:val="ListParagraph"/>
        <w:numPr>
          <w:ilvl w:val="0"/>
          <w:numId w:val="9"/>
        </w:numPr>
        <w:spacing w:before="0" w:after="0" w:line="240" w:lineRule="auto"/>
      </w:pPr>
      <w:r>
        <w:t xml:space="preserve">requiring providers to involve students in the way it regulates; </w:t>
      </w:r>
    </w:p>
    <w:p w14:paraId="6B1758CF" w14:textId="77777777" w:rsidR="00542D19" w:rsidRDefault="00542D19">
      <w:pPr>
        <w:pStyle w:val="ListParagraph"/>
        <w:numPr>
          <w:ilvl w:val="0"/>
          <w:numId w:val="9"/>
        </w:numPr>
        <w:spacing w:before="0" w:after="0" w:line="240" w:lineRule="auto"/>
      </w:pPr>
      <w:r>
        <w:t>provid</w:t>
      </w:r>
      <w:r w:rsidR="000B4A61">
        <w:t>ing</w:t>
      </w:r>
      <w:r>
        <w:t xml:space="preserve"> accurate information for students to help them make the best choices possible; </w:t>
      </w:r>
    </w:p>
    <w:p w14:paraId="79B6F083" w14:textId="17834C19" w:rsidR="00C5204D" w:rsidRDefault="00542D19">
      <w:pPr>
        <w:pStyle w:val="ListParagraph"/>
        <w:numPr>
          <w:ilvl w:val="0"/>
          <w:numId w:val="9"/>
        </w:numPr>
        <w:spacing w:before="0" w:after="0" w:line="240" w:lineRule="auto"/>
      </w:pPr>
      <w:r>
        <w:t>operat</w:t>
      </w:r>
      <w:r w:rsidR="000B4A61">
        <w:t>ing</w:t>
      </w:r>
      <w:r>
        <w:t xml:space="preserve"> the Teaching Excellence Framework (TEF);</w:t>
      </w:r>
    </w:p>
    <w:p w14:paraId="7A35C068" w14:textId="77777777" w:rsidR="00542D19" w:rsidRDefault="00542D19">
      <w:pPr>
        <w:pStyle w:val="ListParagraph"/>
        <w:numPr>
          <w:ilvl w:val="0"/>
          <w:numId w:val="9"/>
        </w:numPr>
        <w:spacing w:before="0" w:after="0" w:line="240" w:lineRule="auto"/>
      </w:pPr>
      <w:r>
        <w:t>Remov</w:t>
      </w:r>
      <w:r w:rsidR="000B4A61">
        <w:t>ing</w:t>
      </w:r>
      <w:r>
        <w:t xml:space="preserve"> unnecessary barriers to entry </w:t>
      </w:r>
      <w:r w:rsidR="000B4A61">
        <w:t xml:space="preserve">for </w:t>
      </w:r>
      <w:r>
        <w:t>new providers;</w:t>
      </w:r>
    </w:p>
    <w:p w14:paraId="7B23487E" w14:textId="5ECF53D4" w:rsidR="00542D19" w:rsidRDefault="00542D19">
      <w:pPr>
        <w:pStyle w:val="ListParagraph"/>
        <w:numPr>
          <w:ilvl w:val="0"/>
          <w:numId w:val="9"/>
        </w:numPr>
        <w:spacing w:before="0" w:after="0" w:line="240" w:lineRule="auto"/>
      </w:pPr>
      <w:r>
        <w:t>Remov</w:t>
      </w:r>
      <w:r w:rsidR="000B4A61">
        <w:t>ing</w:t>
      </w:r>
      <w:r>
        <w:t xml:space="preserve"> unnecessary regulatory barriers for all </w:t>
      </w:r>
      <w:r w:rsidR="00307F03">
        <w:t>high-quality</w:t>
      </w:r>
      <w:r>
        <w:t xml:space="preserve"> providers;</w:t>
      </w:r>
    </w:p>
    <w:p w14:paraId="13A10D93" w14:textId="77777777" w:rsidR="00542D19" w:rsidRDefault="00542D19">
      <w:pPr>
        <w:pStyle w:val="ListParagraph"/>
        <w:numPr>
          <w:ilvl w:val="0"/>
          <w:numId w:val="9"/>
        </w:numPr>
        <w:spacing w:before="0" w:after="0" w:line="240" w:lineRule="auto"/>
      </w:pPr>
      <w:r>
        <w:t>Speak</w:t>
      </w:r>
      <w:r w:rsidR="000B4A61">
        <w:t>ing</w:t>
      </w:r>
      <w:r>
        <w:t xml:space="preserve"> out on behalf of students where required;</w:t>
      </w:r>
    </w:p>
    <w:p w14:paraId="2492875D" w14:textId="77777777" w:rsidR="00542D19" w:rsidRDefault="00542D19">
      <w:pPr>
        <w:pStyle w:val="ListParagraph"/>
        <w:numPr>
          <w:ilvl w:val="0"/>
          <w:numId w:val="9"/>
        </w:numPr>
        <w:spacing w:before="0" w:after="0" w:line="240" w:lineRule="auto"/>
      </w:pPr>
      <w:r>
        <w:t>Us</w:t>
      </w:r>
      <w:r w:rsidR="000B4A61">
        <w:t>ing</w:t>
      </w:r>
      <w:r>
        <w:t xml:space="preserve"> a range of indicators and metrics to understand and evaluate the health of the sector;</w:t>
      </w:r>
    </w:p>
    <w:p w14:paraId="05C1311C" w14:textId="2A3EC764" w:rsidR="00542D19" w:rsidRDefault="00542D19">
      <w:pPr>
        <w:pStyle w:val="ListParagraph"/>
        <w:numPr>
          <w:ilvl w:val="0"/>
          <w:numId w:val="9"/>
        </w:numPr>
        <w:spacing w:before="0" w:after="0" w:line="240" w:lineRule="auto"/>
      </w:pPr>
      <w:r>
        <w:t>Us</w:t>
      </w:r>
      <w:r w:rsidR="00BB23ED">
        <w:t>ing</w:t>
      </w:r>
      <w:r>
        <w:t xml:space="preserve"> its teaching grant funding strategically.</w:t>
      </w:r>
    </w:p>
    <w:p w14:paraId="100FBFA5" w14:textId="77777777" w:rsidR="002336C1" w:rsidRDefault="002336C1" w:rsidP="002336C1">
      <w:pPr>
        <w:pStyle w:val="ListParagraph"/>
        <w:spacing w:before="0" w:after="0" w:line="240" w:lineRule="auto"/>
      </w:pPr>
    </w:p>
    <w:p w14:paraId="287F2C54" w14:textId="28655E9A" w:rsidR="001C4E84" w:rsidRPr="00152013" w:rsidRDefault="00542D19" w:rsidP="00FF67D8">
      <w:pPr>
        <w:pStyle w:val="ListParagraph"/>
        <w:numPr>
          <w:ilvl w:val="0"/>
          <w:numId w:val="14"/>
        </w:numPr>
        <w:spacing w:before="0" w:after="0" w:line="240" w:lineRule="auto"/>
        <w:ind w:left="284" w:hanging="284"/>
      </w:pPr>
      <w:r w:rsidRPr="00152013">
        <w:t>At provider level, the OfS will regulate, and intervene where necessary to protect the interests of all students</w:t>
      </w:r>
      <w:r w:rsidR="00307F03" w:rsidRPr="00152013">
        <w:t xml:space="preserve">.  </w:t>
      </w:r>
      <w:r w:rsidR="001C4E84" w:rsidRPr="00152013">
        <w:t xml:space="preserve">Providers must be on the Register </w:t>
      </w:r>
      <w:r w:rsidR="006912BD" w:rsidRPr="00152013">
        <w:t>for</w:t>
      </w:r>
      <w:r w:rsidR="00F90518" w:rsidRPr="00152013">
        <w:t xml:space="preserve"> their</w:t>
      </w:r>
      <w:r w:rsidR="001C4E84" w:rsidRPr="00152013">
        <w:t xml:space="preserve"> students to access student funding</w:t>
      </w:r>
      <w:r w:rsidR="00F90518" w:rsidRPr="00152013">
        <w:t xml:space="preserve">, for </w:t>
      </w:r>
      <w:r w:rsidR="001C4E84" w:rsidRPr="00152013">
        <w:t xml:space="preserve">the provider to retain their </w:t>
      </w:r>
      <w:r w:rsidR="00E323AA">
        <w:t>UKVI</w:t>
      </w:r>
      <w:r w:rsidR="00BE1C25">
        <w:t xml:space="preserve"> Student </w:t>
      </w:r>
      <w:r w:rsidR="000A680B">
        <w:t>Sponsor License</w:t>
      </w:r>
      <w:r w:rsidR="001C4E84" w:rsidRPr="00152013">
        <w:t xml:space="preserve"> status</w:t>
      </w:r>
      <w:r w:rsidR="004822A7" w:rsidRPr="00152013">
        <w:t xml:space="preserve"> and</w:t>
      </w:r>
      <w:r w:rsidR="001C4E84" w:rsidRPr="00152013">
        <w:t xml:space="preserve"> </w:t>
      </w:r>
      <w:r w:rsidR="00BB1722">
        <w:t xml:space="preserve">to </w:t>
      </w:r>
      <w:r w:rsidR="001C4E84" w:rsidRPr="00152013">
        <w:t>access public finding.</w:t>
      </w:r>
    </w:p>
    <w:p w14:paraId="421B57DD" w14:textId="77777777" w:rsidR="002336C1" w:rsidRDefault="002336C1" w:rsidP="002336C1">
      <w:pPr>
        <w:pStyle w:val="ListParagraph"/>
        <w:spacing w:before="0" w:after="0" w:line="240" w:lineRule="auto"/>
      </w:pPr>
    </w:p>
    <w:p w14:paraId="3D3F5161" w14:textId="0AF438AF" w:rsidR="00070A92" w:rsidRPr="00152013" w:rsidRDefault="00307F03" w:rsidP="00FF67D8">
      <w:pPr>
        <w:pStyle w:val="ListParagraph"/>
        <w:numPr>
          <w:ilvl w:val="0"/>
          <w:numId w:val="14"/>
        </w:numPr>
        <w:spacing w:before="0" w:after="0" w:line="240" w:lineRule="auto"/>
        <w:ind w:left="284" w:hanging="284"/>
      </w:pPr>
      <w:r w:rsidRPr="00152013">
        <w:t>To</w:t>
      </w:r>
      <w:r w:rsidR="001C4E84" w:rsidRPr="00152013">
        <w:t xml:space="preserve"> get onto the Register, providers must demonstrate that they satisfy a set of initial conditions of registration</w:t>
      </w:r>
      <w:r w:rsidRPr="00152013">
        <w:t xml:space="preserve">. </w:t>
      </w:r>
      <w:r w:rsidR="008843F1" w:rsidRPr="00152013">
        <w:t xml:space="preserve">Once </w:t>
      </w:r>
      <w:r w:rsidR="00070A92" w:rsidRPr="00152013">
        <w:t>registered</w:t>
      </w:r>
      <w:r w:rsidR="00862C99">
        <w:t>,</w:t>
      </w:r>
      <w:r w:rsidR="008843F1" w:rsidRPr="00152013">
        <w:t xml:space="preserve"> providers must </w:t>
      </w:r>
      <w:r w:rsidR="00070A92" w:rsidRPr="00152013">
        <w:t>continue to meet specific general and ongoing conditions in order to remain on the Register.</w:t>
      </w:r>
    </w:p>
    <w:p w14:paraId="3B18C6AE" w14:textId="77777777" w:rsidR="000A680B" w:rsidRDefault="000A680B" w:rsidP="000A680B">
      <w:pPr>
        <w:pStyle w:val="ListParagraph"/>
        <w:spacing w:before="0" w:after="0" w:line="240" w:lineRule="auto"/>
      </w:pPr>
    </w:p>
    <w:p w14:paraId="467DE05D" w14:textId="4D9013B3" w:rsidR="00070A92" w:rsidRPr="00307F03" w:rsidRDefault="00070A92" w:rsidP="00FF67D8">
      <w:pPr>
        <w:pStyle w:val="ListParagraph"/>
        <w:numPr>
          <w:ilvl w:val="0"/>
          <w:numId w:val="14"/>
        </w:numPr>
        <w:spacing w:before="0" w:after="0" w:line="240" w:lineRule="auto"/>
        <w:ind w:left="284" w:hanging="284"/>
      </w:pPr>
      <w:r w:rsidRPr="00152013">
        <w:t xml:space="preserve">All conditions of registration </w:t>
      </w:r>
      <w:r w:rsidR="00197701">
        <w:t>came</w:t>
      </w:r>
      <w:r w:rsidRPr="00152013">
        <w:t xml:space="preserve"> into effect from 1 August 2019</w:t>
      </w:r>
      <w:r w:rsidR="00D008F3">
        <w:t xml:space="preserve">. </w:t>
      </w:r>
      <w:r w:rsidRPr="00152013">
        <w:t>The table below provides a basic overview of the conditions of registration.</w:t>
      </w:r>
      <w:r w:rsidR="00045AF0">
        <w:t xml:space="preserve"> In </w:t>
      </w:r>
      <w:r w:rsidR="00274A24">
        <w:t>May 2022,</w:t>
      </w:r>
      <w:r w:rsidR="008C5090">
        <w:t xml:space="preserve"> </w:t>
      </w:r>
      <w:r w:rsidR="00862C99">
        <w:t>several</w:t>
      </w:r>
      <w:r w:rsidR="008C5090">
        <w:t xml:space="preserve"> revised</w:t>
      </w:r>
      <w:r w:rsidR="00045AF0">
        <w:t xml:space="preserve"> ongoing conditions of registration </w:t>
      </w:r>
      <w:r w:rsidR="008C5090">
        <w:t>came into force.</w:t>
      </w:r>
    </w:p>
    <w:p w14:paraId="2AA34C27" w14:textId="77777777" w:rsidR="000A680B" w:rsidRDefault="000A680B" w:rsidP="000A680B">
      <w:pPr>
        <w:pStyle w:val="ListParagraph"/>
        <w:spacing w:before="0" w:after="0" w:line="240" w:lineRule="auto"/>
      </w:pPr>
    </w:p>
    <w:p w14:paraId="459E638B" w14:textId="408ADF3F" w:rsidR="00F90518" w:rsidRDefault="000604E5" w:rsidP="00FF67D8">
      <w:pPr>
        <w:pStyle w:val="ListParagraph"/>
        <w:numPr>
          <w:ilvl w:val="0"/>
          <w:numId w:val="14"/>
        </w:numPr>
        <w:spacing w:before="0" w:after="0" w:line="240" w:lineRule="auto"/>
        <w:ind w:left="284" w:hanging="284"/>
      </w:pPr>
      <w:r>
        <w:t>Ongoing c</w:t>
      </w:r>
      <w:r w:rsidR="00F90518" w:rsidRPr="00307F03">
        <w:t>onditions of registration</w:t>
      </w:r>
      <w:r w:rsidR="00307F03">
        <w:t>:</w:t>
      </w:r>
    </w:p>
    <w:p w14:paraId="746E3635" w14:textId="77777777" w:rsidR="000A680B" w:rsidRDefault="000A680B" w:rsidP="000A680B">
      <w:pPr>
        <w:spacing w:before="0" w:after="0" w:line="240" w:lineRule="auto"/>
      </w:pPr>
    </w:p>
    <w:tbl>
      <w:tblPr>
        <w:tblStyle w:val="TableGrid"/>
        <w:tblW w:w="9498" w:type="dxa"/>
        <w:tblInd w:w="-431" w:type="dxa"/>
        <w:tblLook w:val="04A0" w:firstRow="1" w:lastRow="0" w:firstColumn="1" w:lastColumn="0" w:noHBand="0" w:noVBand="1"/>
      </w:tblPr>
      <w:tblGrid>
        <w:gridCol w:w="9498"/>
      </w:tblGrid>
      <w:tr w:rsidR="009159B9" w:rsidRPr="00F31DDE" w14:paraId="2C05135B" w14:textId="77777777" w:rsidTr="009159B9">
        <w:tc>
          <w:tcPr>
            <w:tcW w:w="9498" w:type="dxa"/>
            <w:shd w:val="clear" w:color="auto" w:fill="auto"/>
          </w:tcPr>
          <w:p w14:paraId="6DAAFAFB" w14:textId="5763AAFE" w:rsidR="00A64521" w:rsidRPr="00F31DDE" w:rsidRDefault="009159B9" w:rsidP="00182FBE">
            <w:pPr>
              <w:spacing w:before="0" w:after="0" w:line="240" w:lineRule="auto"/>
              <w:rPr>
                <w:rFonts w:cs="Arial"/>
                <w:b/>
                <w:sz w:val="22"/>
                <w:szCs w:val="22"/>
              </w:rPr>
            </w:pPr>
            <w:r w:rsidRPr="00F31DDE">
              <w:rPr>
                <w:rFonts w:cs="Arial"/>
                <w:b/>
                <w:sz w:val="22"/>
                <w:szCs w:val="22"/>
              </w:rPr>
              <w:t>A: Access and participation for students from all backgrounds</w:t>
            </w:r>
          </w:p>
        </w:tc>
      </w:tr>
      <w:tr w:rsidR="009159B9" w:rsidRPr="00F31DDE" w14:paraId="46DC34BA" w14:textId="77777777" w:rsidTr="009159B9">
        <w:tc>
          <w:tcPr>
            <w:tcW w:w="9498" w:type="dxa"/>
          </w:tcPr>
          <w:p w14:paraId="59C44A32" w14:textId="77777777" w:rsidR="009159B9" w:rsidRPr="00F31DDE" w:rsidRDefault="009159B9" w:rsidP="002336C1">
            <w:pPr>
              <w:spacing w:before="0" w:after="0" w:line="240" w:lineRule="auto"/>
              <w:rPr>
                <w:rFonts w:cs="Arial"/>
                <w:sz w:val="22"/>
                <w:szCs w:val="22"/>
              </w:rPr>
            </w:pPr>
            <w:r w:rsidRPr="00F31DDE">
              <w:rPr>
                <w:rFonts w:cs="Arial"/>
                <w:sz w:val="22"/>
                <w:szCs w:val="22"/>
              </w:rPr>
              <w:t xml:space="preserve">Condition A1: </w:t>
            </w:r>
          </w:p>
          <w:p w14:paraId="5A5F4C96" w14:textId="3ED9524C" w:rsidR="009159B9" w:rsidRPr="00F31DDE" w:rsidRDefault="009159B9" w:rsidP="002336C1">
            <w:pPr>
              <w:pStyle w:val="ListParagraph"/>
              <w:widowControl/>
              <w:numPr>
                <w:ilvl w:val="0"/>
                <w:numId w:val="1"/>
              </w:numPr>
              <w:spacing w:before="0" w:after="0" w:line="240" w:lineRule="auto"/>
              <w:ind w:left="589" w:hanging="567"/>
              <w:contextualSpacing/>
              <w:rPr>
                <w:rFonts w:cs="Arial"/>
                <w:sz w:val="22"/>
                <w:szCs w:val="22"/>
              </w:rPr>
            </w:pPr>
            <w:r w:rsidRPr="00F31DDE">
              <w:rPr>
                <w:rFonts w:cs="Arial"/>
                <w:sz w:val="22"/>
                <w:szCs w:val="22"/>
              </w:rPr>
              <w:t>Have in force an access and participation plan approved by the OfS in accordance with HERA.</w:t>
            </w:r>
          </w:p>
          <w:p w14:paraId="1509E9F7" w14:textId="77777777" w:rsidR="009159B9" w:rsidRPr="00F31DDE" w:rsidRDefault="009159B9" w:rsidP="002336C1">
            <w:pPr>
              <w:pStyle w:val="ListParagraph"/>
              <w:widowControl/>
              <w:numPr>
                <w:ilvl w:val="0"/>
                <w:numId w:val="1"/>
              </w:numPr>
              <w:spacing w:before="0" w:after="0" w:line="240" w:lineRule="auto"/>
              <w:ind w:left="589" w:hanging="567"/>
              <w:contextualSpacing/>
              <w:rPr>
                <w:rFonts w:cs="Arial"/>
                <w:sz w:val="22"/>
                <w:szCs w:val="22"/>
              </w:rPr>
            </w:pPr>
            <w:r w:rsidRPr="00F31DDE">
              <w:rPr>
                <w:rFonts w:cs="Arial"/>
                <w:sz w:val="22"/>
                <w:szCs w:val="22"/>
              </w:rPr>
              <w:t>Take all reasonable steps to comply with the provisions of the plan.</w:t>
            </w:r>
          </w:p>
        </w:tc>
      </w:tr>
      <w:tr w:rsidR="009159B9" w:rsidRPr="00F31DDE" w14:paraId="0717DE8A" w14:textId="77777777" w:rsidTr="009159B9">
        <w:tc>
          <w:tcPr>
            <w:tcW w:w="9498" w:type="dxa"/>
          </w:tcPr>
          <w:p w14:paraId="7DA57CFB" w14:textId="77777777" w:rsidR="009159B9" w:rsidRPr="00F31DDE" w:rsidRDefault="009159B9" w:rsidP="002336C1">
            <w:pPr>
              <w:spacing w:before="0" w:after="0" w:line="240" w:lineRule="auto"/>
              <w:rPr>
                <w:rFonts w:cs="Arial"/>
                <w:sz w:val="22"/>
                <w:szCs w:val="22"/>
              </w:rPr>
            </w:pPr>
            <w:r w:rsidRPr="00F31DDE">
              <w:rPr>
                <w:rFonts w:cs="Arial"/>
                <w:sz w:val="22"/>
                <w:szCs w:val="22"/>
              </w:rPr>
              <w:t>Condition A2:</w:t>
            </w:r>
          </w:p>
          <w:p w14:paraId="32C5BCEA" w14:textId="4E2210DE" w:rsidR="009159B9" w:rsidRPr="00F31DDE" w:rsidRDefault="009159B9">
            <w:pPr>
              <w:pStyle w:val="ListParagraph"/>
              <w:numPr>
                <w:ilvl w:val="0"/>
                <w:numId w:val="12"/>
              </w:numPr>
              <w:spacing w:before="0" w:after="0" w:line="240" w:lineRule="auto"/>
              <w:rPr>
                <w:rFonts w:cs="Arial"/>
                <w:sz w:val="22"/>
                <w:szCs w:val="22"/>
              </w:rPr>
            </w:pPr>
            <w:r w:rsidRPr="00F31DDE">
              <w:rPr>
                <w:rFonts w:cs="Arial"/>
                <w:sz w:val="22"/>
                <w:szCs w:val="22"/>
              </w:rPr>
              <w:t>Publish an access and participation statement.</w:t>
            </w:r>
          </w:p>
          <w:p w14:paraId="5AE5B4CC" w14:textId="5F15F4B2" w:rsidR="00A64521" w:rsidRPr="00F31DDE" w:rsidRDefault="009159B9" w:rsidP="005E2DE8">
            <w:pPr>
              <w:pStyle w:val="ListParagraph"/>
              <w:numPr>
                <w:ilvl w:val="0"/>
                <w:numId w:val="12"/>
              </w:numPr>
              <w:spacing w:before="0" w:after="0" w:line="240" w:lineRule="auto"/>
              <w:rPr>
                <w:rFonts w:cs="Arial"/>
                <w:sz w:val="22"/>
                <w:szCs w:val="22"/>
              </w:rPr>
            </w:pPr>
            <w:r w:rsidRPr="00F31DDE">
              <w:rPr>
                <w:rFonts w:cs="Arial"/>
                <w:sz w:val="22"/>
                <w:szCs w:val="22"/>
              </w:rPr>
              <w:t>Update and re-publish this statement on annual basis.</w:t>
            </w:r>
          </w:p>
        </w:tc>
      </w:tr>
      <w:tr w:rsidR="009159B9" w:rsidRPr="00F31DDE" w14:paraId="075B832A" w14:textId="77777777" w:rsidTr="009159B9">
        <w:tc>
          <w:tcPr>
            <w:tcW w:w="9498" w:type="dxa"/>
            <w:shd w:val="clear" w:color="auto" w:fill="auto"/>
          </w:tcPr>
          <w:p w14:paraId="2F05A04A" w14:textId="77777777" w:rsidR="005E2DE8" w:rsidRDefault="005E2DE8" w:rsidP="00182FBE">
            <w:pPr>
              <w:spacing w:before="0" w:after="0" w:line="240" w:lineRule="auto"/>
              <w:rPr>
                <w:rFonts w:cs="Arial"/>
                <w:b/>
                <w:sz w:val="22"/>
                <w:szCs w:val="22"/>
              </w:rPr>
            </w:pPr>
          </w:p>
          <w:p w14:paraId="5A3EA75B" w14:textId="25A7BCE0" w:rsidR="00A64521" w:rsidRPr="00F31DDE" w:rsidRDefault="005E2DE8" w:rsidP="00182FBE">
            <w:pPr>
              <w:spacing w:before="0" w:after="0" w:line="240" w:lineRule="auto"/>
              <w:rPr>
                <w:rFonts w:cs="Arial"/>
                <w:b/>
                <w:sz w:val="22"/>
                <w:szCs w:val="22"/>
              </w:rPr>
            </w:pPr>
            <w:r>
              <w:rPr>
                <w:rFonts w:cs="Arial"/>
                <w:b/>
                <w:sz w:val="22"/>
                <w:szCs w:val="22"/>
              </w:rPr>
              <w:t>B</w:t>
            </w:r>
            <w:r w:rsidR="009159B9" w:rsidRPr="00F31DDE">
              <w:rPr>
                <w:rFonts w:cs="Arial"/>
                <w:b/>
                <w:sz w:val="22"/>
                <w:szCs w:val="22"/>
              </w:rPr>
              <w:t xml:space="preserve">: Quality, reliable standards and positive outcomes for all students </w:t>
            </w:r>
          </w:p>
        </w:tc>
      </w:tr>
      <w:tr w:rsidR="009159B9" w:rsidRPr="00F31DDE" w14:paraId="416DCEFB" w14:textId="77777777" w:rsidTr="009159B9">
        <w:tc>
          <w:tcPr>
            <w:tcW w:w="9498" w:type="dxa"/>
          </w:tcPr>
          <w:p w14:paraId="5CC388B2" w14:textId="4A62F093" w:rsidR="009159B9" w:rsidRPr="00F31DDE" w:rsidRDefault="006B5FB1" w:rsidP="002336C1">
            <w:pPr>
              <w:spacing w:before="0" w:after="0" w:line="240" w:lineRule="auto"/>
              <w:rPr>
                <w:rFonts w:cs="Arial"/>
                <w:sz w:val="22"/>
                <w:szCs w:val="22"/>
                <w:lang w:val="en-GB"/>
              </w:rPr>
            </w:pPr>
            <w:r w:rsidRPr="00F31DDE">
              <w:rPr>
                <w:rFonts w:cs="Arial"/>
                <w:sz w:val="22"/>
                <w:szCs w:val="22"/>
              </w:rPr>
              <w:t xml:space="preserve">Condition </w:t>
            </w:r>
            <w:r w:rsidR="009159B9" w:rsidRPr="00F31DDE">
              <w:rPr>
                <w:rFonts w:cs="Arial"/>
                <w:sz w:val="22"/>
                <w:szCs w:val="22"/>
                <w:lang w:val="en-GB"/>
              </w:rPr>
              <w:t>B1</w:t>
            </w:r>
            <w:r w:rsidR="00381AD0">
              <w:rPr>
                <w:rFonts w:cs="Arial"/>
                <w:sz w:val="22"/>
                <w:szCs w:val="22"/>
                <w:lang w:val="en-GB"/>
              </w:rPr>
              <w:t>:</w:t>
            </w:r>
            <w:r w:rsidR="009159B9" w:rsidRPr="00F31DDE">
              <w:rPr>
                <w:rFonts w:cs="Arial"/>
                <w:sz w:val="22"/>
                <w:szCs w:val="22"/>
                <w:lang w:val="en-GB"/>
              </w:rPr>
              <w:t xml:space="preserve"> Ensure that the students registered on each higher education course receive a </w:t>
            </w:r>
            <w:r w:rsidR="00D150B6" w:rsidRPr="00F31DDE">
              <w:rPr>
                <w:rFonts w:cs="Arial"/>
                <w:sz w:val="22"/>
                <w:szCs w:val="22"/>
                <w:lang w:val="en-GB"/>
              </w:rPr>
              <w:t>high-quality</w:t>
            </w:r>
            <w:r w:rsidR="009159B9" w:rsidRPr="00F31DDE">
              <w:rPr>
                <w:rFonts w:cs="Arial"/>
                <w:sz w:val="22"/>
                <w:szCs w:val="22"/>
                <w:lang w:val="en-GB"/>
              </w:rPr>
              <w:t xml:space="preserve"> academic experience.</w:t>
            </w:r>
          </w:p>
        </w:tc>
      </w:tr>
      <w:tr w:rsidR="009159B9" w:rsidRPr="00F31DDE" w14:paraId="527774F7" w14:textId="77777777" w:rsidTr="009159B9">
        <w:tc>
          <w:tcPr>
            <w:tcW w:w="9498" w:type="dxa"/>
          </w:tcPr>
          <w:p w14:paraId="6F807FC3" w14:textId="0CE3C6F8" w:rsidR="009159B9" w:rsidRPr="00F31DDE" w:rsidRDefault="00381AD0" w:rsidP="002336C1">
            <w:pPr>
              <w:spacing w:before="0" w:after="0" w:line="240" w:lineRule="auto"/>
              <w:rPr>
                <w:rFonts w:cs="Arial"/>
                <w:sz w:val="22"/>
                <w:szCs w:val="22"/>
                <w:lang w:val="en-GB"/>
              </w:rPr>
            </w:pPr>
            <w:r>
              <w:rPr>
                <w:rFonts w:cs="Arial"/>
                <w:sz w:val="22"/>
                <w:szCs w:val="22"/>
                <w:lang w:val="en-GB"/>
              </w:rPr>
              <w:t xml:space="preserve">Condition </w:t>
            </w:r>
            <w:r w:rsidR="009159B9" w:rsidRPr="00F31DDE">
              <w:rPr>
                <w:rFonts w:cs="Arial"/>
                <w:sz w:val="22"/>
                <w:szCs w:val="22"/>
                <w:lang w:val="en-GB"/>
              </w:rPr>
              <w:t>B2</w:t>
            </w:r>
            <w:r>
              <w:rPr>
                <w:rFonts w:cs="Arial"/>
                <w:sz w:val="22"/>
                <w:szCs w:val="22"/>
                <w:lang w:val="en-GB"/>
              </w:rPr>
              <w:t>:</w:t>
            </w:r>
            <w:r w:rsidR="009159B9" w:rsidRPr="00F31DDE">
              <w:rPr>
                <w:rFonts w:cs="Arial"/>
                <w:sz w:val="22"/>
                <w:szCs w:val="22"/>
                <w:lang w:val="en-GB"/>
              </w:rPr>
              <w:t xml:space="preserve"> Must take all reasonable steps to ensure: </w:t>
            </w:r>
          </w:p>
          <w:p w14:paraId="65FA8B05" w14:textId="77777777" w:rsidR="009159B9" w:rsidRPr="00F31DDE" w:rsidRDefault="009159B9">
            <w:pPr>
              <w:pStyle w:val="ListParagraph"/>
              <w:numPr>
                <w:ilvl w:val="1"/>
                <w:numId w:val="9"/>
              </w:numPr>
              <w:spacing w:before="0" w:after="0" w:line="240" w:lineRule="auto"/>
              <w:ind w:left="456"/>
              <w:rPr>
                <w:rFonts w:cs="Arial"/>
                <w:sz w:val="22"/>
                <w:szCs w:val="22"/>
                <w:lang w:val="en-GB"/>
              </w:rPr>
            </w:pPr>
            <w:r w:rsidRPr="00F31DDE">
              <w:rPr>
                <w:rFonts w:cs="Arial"/>
                <w:sz w:val="22"/>
                <w:szCs w:val="22"/>
                <w:lang w:val="en-GB"/>
              </w:rPr>
              <w:t xml:space="preserve">each cohort of students registered on each higher education course receives resources and support which are sufficient for the purpose of ensuring: </w:t>
            </w:r>
          </w:p>
          <w:p w14:paraId="33989167" w14:textId="521D23E8" w:rsidR="009159B9" w:rsidRPr="00F31DDE" w:rsidRDefault="009159B9">
            <w:pPr>
              <w:pStyle w:val="ListParagraph"/>
              <w:numPr>
                <w:ilvl w:val="0"/>
                <w:numId w:val="16"/>
              </w:numPr>
              <w:spacing w:before="0" w:after="0" w:line="240" w:lineRule="auto"/>
              <w:rPr>
                <w:rFonts w:cs="Arial"/>
                <w:sz w:val="22"/>
                <w:szCs w:val="22"/>
                <w:lang w:val="en-GB"/>
              </w:rPr>
            </w:pPr>
            <w:r w:rsidRPr="00F31DDE">
              <w:rPr>
                <w:rFonts w:cs="Arial"/>
                <w:sz w:val="22"/>
                <w:szCs w:val="22"/>
                <w:lang w:val="en-GB"/>
              </w:rPr>
              <w:t xml:space="preserve">a </w:t>
            </w:r>
            <w:r w:rsidR="00D150B6" w:rsidRPr="00F31DDE">
              <w:rPr>
                <w:rFonts w:cs="Arial"/>
                <w:sz w:val="22"/>
                <w:szCs w:val="22"/>
                <w:lang w:val="en-GB"/>
              </w:rPr>
              <w:t>high-quality</w:t>
            </w:r>
            <w:r w:rsidRPr="00F31DDE">
              <w:rPr>
                <w:rFonts w:cs="Arial"/>
                <w:sz w:val="22"/>
                <w:szCs w:val="22"/>
                <w:lang w:val="en-GB"/>
              </w:rPr>
              <w:t xml:space="preserve"> academic experience for those students; and </w:t>
            </w:r>
          </w:p>
          <w:p w14:paraId="58F6B0D4" w14:textId="77777777" w:rsidR="009159B9" w:rsidRPr="00F31DDE" w:rsidRDefault="009159B9">
            <w:pPr>
              <w:pStyle w:val="ListParagraph"/>
              <w:numPr>
                <w:ilvl w:val="0"/>
                <w:numId w:val="16"/>
              </w:numPr>
              <w:spacing w:before="0" w:after="0" w:line="240" w:lineRule="auto"/>
              <w:rPr>
                <w:rFonts w:cs="Arial"/>
                <w:sz w:val="22"/>
                <w:szCs w:val="22"/>
                <w:lang w:val="en-GB"/>
              </w:rPr>
            </w:pPr>
            <w:r w:rsidRPr="00F31DDE">
              <w:rPr>
                <w:rFonts w:cs="Arial"/>
                <w:sz w:val="22"/>
                <w:szCs w:val="22"/>
                <w:lang w:val="en-GB"/>
              </w:rPr>
              <w:t xml:space="preserve">those students succeed in and beyond higher education; and </w:t>
            </w:r>
          </w:p>
          <w:p w14:paraId="2C93CC1D" w14:textId="77777777" w:rsidR="009159B9" w:rsidRPr="00F31DDE" w:rsidRDefault="009159B9">
            <w:pPr>
              <w:pStyle w:val="ListParagraph"/>
              <w:numPr>
                <w:ilvl w:val="1"/>
                <w:numId w:val="9"/>
              </w:numPr>
              <w:spacing w:before="0" w:after="0" w:line="240" w:lineRule="auto"/>
              <w:ind w:left="456"/>
              <w:rPr>
                <w:rFonts w:cs="Arial"/>
                <w:sz w:val="22"/>
                <w:szCs w:val="22"/>
                <w:lang w:val="en-GB"/>
              </w:rPr>
            </w:pPr>
            <w:r w:rsidRPr="00F31DDE">
              <w:rPr>
                <w:rFonts w:cs="Arial"/>
                <w:sz w:val="22"/>
                <w:szCs w:val="22"/>
                <w:lang w:val="en-GB"/>
              </w:rPr>
              <w:t xml:space="preserve">effective engagement with each cohort of students which is sufficient for the purpose of ensuring: </w:t>
            </w:r>
          </w:p>
          <w:p w14:paraId="4FCC6647" w14:textId="248F4330" w:rsidR="009159B9" w:rsidRPr="00F31DDE" w:rsidRDefault="009159B9">
            <w:pPr>
              <w:pStyle w:val="ListParagraph"/>
              <w:numPr>
                <w:ilvl w:val="0"/>
                <w:numId w:val="17"/>
              </w:numPr>
              <w:spacing w:before="0" w:after="0" w:line="240" w:lineRule="auto"/>
              <w:rPr>
                <w:rFonts w:cs="Arial"/>
                <w:sz w:val="22"/>
                <w:szCs w:val="22"/>
                <w:lang w:val="en-GB"/>
              </w:rPr>
            </w:pPr>
            <w:r w:rsidRPr="00F31DDE">
              <w:rPr>
                <w:rFonts w:cs="Arial"/>
                <w:sz w:val="22"/>
                <w:szCs w:val="22"/>
                <w:lang w:val="en-GB"/>
              </w:rPr>
              <w:t xml:space="preserve">a </w:t>
            </w:r>
            <w:r w:rsidR="00D150B6" w:rsidRPr="00F31DDE">
              <w:rPr>
                <w:rFonts w:cs="Arial"/>
                <w:sz w:val="22"/>
                <w:szCs w:val="22"/>
                <w:lang w:val="en-GB"/>
              </w:rPr>
              <w:t>high-quality</w:t>
            </w:r>
            <w:r w:rsidRPr="00F31DDE">
              <w:rPr>
                <w:rFonts w:cs="Arial"/>
                <w:sz w:val="22"/>
                <w:szCs w:val="22"/>
                <w:lang w:val="en-GB"/>
              </w:rPr>
              <w:t xml:space="preserve"> academic experience for those students; and </w:t>
            </w:r>
          </w:p>
          <w:p w14:paraId="2CAA38CB" w14:textId="341BF364" w:rsidR="009159B9" w:rsidRPr="00F31DDE" w:rsidRDefault="009159B9">
            <w:pPr>
              <w:pStyle w:val="ListParagraph"/>
              <w:numPr>
                <w:ilvl w:val="0"/>
                <w:numId w:val="17"/>
              </w:numPr>
              <w:spacing w:before="0" w:after="0" w:line="240" w:lineRule="auto"/>
              <w:rPr>
                <w:rFonts w:cs="Arial"/>
                <w:sz w:val="22"/>
                <w:szCs w:val="22"/>
                <w:lang w:val="en-GB"/>
              </w:rPr>
            </w:pPr>
            <w:r w:rsidRPr="00F31DDE">
              <w:rPr>
                <w:rFonts w:cs="Arial"/>
                <w:sz w:val="22"/>
                <w:szCs w:val="22"/>
                <w:lang w:val="en-GB"/>
              </w:rPr>
              <w:t>those students succeed in and beyond higher education.</w:t>
            </w:r>
          </w:p>
        </w:tc>
      </w:tr>
      <w:tr w:rsidR="009159B9" w:rsidRPr="00F31DDE" w14:paraId="32F1D83F" w14:textId="77777777" w:rsidTr="009159B9">
        <w:tc>
          <w:tcPr>
            <w:tcW w:w="9498" w:type="dxa"/>
          </w:tcPr>
          <w:p w14:paraId="4BCF1AD2" w14:textId="4AA2E9B9" w:rsidR="009159B9" w:rsidRPr="00F31DDE" w:rsidRDefault="009159B9" w:rsidP="002336C1">
            <w:pPr>
              <w:spacing w:before="0" w:after="0" w:line="240" w:lineRule="auto"/>
              <w:rPr>
                <w:rFonts w:cs="Arial"/>
                <w:sz w:val="22"/>
                <w:szCs w:val="22"/>
              </w:rPr>
            </w:pPr>
            <w:r w:rsidRPr="00F31DDE">
              <w:rPr>
                <w:rFonts w:cs="Arial"/>
                <w:sz w:val="22"/>
                <w:szCs w:val="22"/>
              </w:rPr>
              <w:t xml:space="preserve">Condition B3: Deliver </w:t>
            </w:r>
            <w:r w:rsidR="00423B67" w:rsidRPr="00F31DDE">
              <w:rPr>
                <w:rFonts w:cs="Arial"/>
                <w:sz w:val="22"/>
                <w:szCs w:val="22"/>
              </w:rPr>
              <w:t>positive</w:t>
            </w:r>
            <w:r w:rsidRPr="00F31DDE">
              <w:rPr>
                <w:rFonts w:cs="Arial"/>
                <w:sz w:val="22"/>
                <w:szCs w:val="22"/>
              </w:rPr>
              <w:t xml:space="preserve"> outcomes for students</w:t>
            </w:r>
            <w:r w:rsidR="00FF1B84" w:rsidRPr="00F31DDE">
              <w:rPr>
                <w:rFonts w:cs="Arial"/>
                <w:sz w:val="22"/>
                <w:szCs w:val="22"/>
              </w:rPr>
              <w:t xml:space="preserve"> on its higher education courses</w:t>
            </w:r>
            <w:r w:rsidRPr="00F31DDE">
              <w:rPr>
                <w:rFonts w:cs="Arial"/>
                <w:sz w:val="22"/>
                <w:szCs w:val="22"/>
              </w:rPr>
              <w:t xml:space="preserve"> </w:t>
            </w:r>
          </w:p>
        </w:tc>
      </w:tr>
      <w:tr w:rsidR="009159B9" w:rsidRPr="00F31DDE" w14:paraId="13B16D8E" w14:textId="77777777" w:rsidTr="009159B9">
        <w:tc>
          <w:tcPr>
            <w:tcW w:w="9498" w:type="dxa"/>
          </w:tcPr>
          <w:p w14:paraId="362669C9" w14:textId="4F4195E3" w:rsidR="009159B9" w:rsidRPr="00F31DDE" w:rsidRDefault="00BB0987" w:rsidP="002336C1">
            <w:pPr>
              <w:spacing w:before="0" w:after="0" w:line="240" w:lineRule="auto"/>
              <w:rPr>
                <w:rFonts w:cs="Arial"/>
                <w:sz w:val="22"/>
                <w:szCs w:val="22"/>
                <w:lang w:val="en-GB"/>
              </w:rPr>
            </w:pPr>
            <w:r>
              <w:rPr>
                <w:rFonts w:cs="Arial"/>
                <w:sz w:val="22"/>
                <w:szCs w:val="22"/>
                <w:lang w:val="en-GB"/>
              </w:rPr>
              <w:t>Condition B4:</w:t>
            </w:r>
            <w:r w:rsidR="009159B9" w:rsidRPr="00F31DDE">
              <w:rPr>
                <w:rFonts w:cs="Arial"/>
                <w:sz w:val="22"/>
                <w:szCs w:val="22"/>
                <w:lang w:val="en-GB"/>
              </w:rPr>
              <w:t xml:space="preserve"> Must ensure that: </w:t>
            </w:r>
          </w:p>
          <w:p w14:paraId="738CAA96" w14:textId="4AEE4A81" w:rsidR="009159B9" w:rsidRPr="00F31DDE" w:rsidRDefault="009159B9">
            <w:pPr>
              <w:pStyle w:val="ListParagraph"/>
              <w:numPr>
                <w:ilvl w:val="0"/>
                <w:numId w:val="18"/>
              </w:numPr>
              <w:spacing w:before="0" w:after="0" w:line="240" w:lineRule="auto"/>
              <w:ind w:left="456"/>
              <w:rPr>
                <w:rFonts w:cs="Arial"/>
                <w:sz w:val="22"/>
                <w:szCs w:val="22"/>
                <w:lang w:val="en-GB"/>
              </w:rPr>
            </w:pPr>
            <w:r w:rsidRPr="00F31DDE">
              <w:rPr>
                <w:rFonts w:cs="Arial"/>
                <w:sz w:val="22"/>
                <w:szCs w:val="22"/>
                <w:lang w:val="en-GB"/>
              </w:rPr>
              <w:t>students are assessed effectively</w:t>
            </w:r>
            <w:r w:rsidR="00115A7E">
              <w:rPr>
                <w:rFonts w:cs="Arial"/>
                <w:sz w:val="22"/>
                <w:szCs w:val="22"/>
                <w:lang w:val="en-GB"/>
              </w:rPr>
              <w:t>.</w:t>
            </w:r>
            <w:r w:rsidRPr="00F31DDE">
              <w:rPr>
                <w:rFonts w:cs="Arial"/>
                <w:sz w:val="22"/>
                <w:szCs w:val="22"/>
                <w:lang w:val="en-GB"/>
              </w:rPr>
              <w:t xml:space="preserve"> </w:t>
            </w:r>
          </w:p>
          <w:p w14:paraId="1966B102" w14:textId="70F20734" w:rsidR="009159B9" w:rsidRPr="00F31DDE" w:rsidRDefault="009159B9">
            <w:pPr>
              <w:pStyle w:val="ListParagraph"/>
              <w:numPr>
                <w:ilvl w:val="0"/>
                <w:numId w:val="18"/>
              </w:numPr>
              <w:spacing w:before="0" w:after="0" w:line="240" w:lineRule="auto"/>
              <w:ind w:left="456"/>
              <w:rPr>
                <w:rFonts w:cs="Arial"/>
                <w:sz w:val="22"/>
                <w:szCs w:val="22"/>
                <w:lang w:val="en-GB"/>
              </w:rPr>
            </w:pPr>
            <w:r w:rsidRPr="00F31DDE">
              <w:rPr>
                <w:rFonts w:cs="Arial"/>
                <w:sz w:val="22"/>
                <w:szCs w:val="22"/>
                <w:lang w:val="en-GB"/>
              </w:rPr>
              <w:t>each assessment is valid and reliable</w:t>
            </w:r>
            <w:r w:rsidR="00115A7E">
              <w:rPr>
                <w:rFonts w:cs="Arial"/>
                <w:sz w:val="22"/>
                <w:szCs w:val="22"/>
                <w:lang w:val="en-GB"/>
              </w:rPr>
              <w:t>.</w:t>
            </w:r>
          </w:p>
          <w:p w14:paraId="52F11C1D" w14:textId="1A0D3545" w:rsidR="009159B9" w:rsidRPr="00F31DDE" w:rsidRDefault="009159B9">
            <w:pPr>
              <w:pStyle w:val="ListParagraph"/>
              <w:numPr>
                <w:ilvl w:val="0"/>
                <w:numId w:val="18"/>
              </w:numPr>
              <w:spacing w:before="0" w:after="0" w:line="240" w:lineRule="auto"/>
              <w:ind w:left="456"/>
              <w:rPr>
                <w:rFonts w:cs="Arial"/>
                <w:sz w:val="22"/>
                <w:szCs w:val="22"/>
                <w:lang w:val="en-GB"/>
              </w:rPr>
            </w:pPr>
            <w:r w:rsidRPr="00F31DDE">
              <w:rPr>
                <w:rFonts w:cs="Arial"/>
                <w:sz w:val="22"/>
                <w:szCs w:val="22"/>
                <w:lang w:val="en-GB"/>
              </w:rPr>
              <w:t>academic regulations are designed to ensure that relevant awards are credible</w:t>
            </w:r>
            <w:r w:rsidR="00115A7E">
              <w:rPr>
                <w:rFonts w:cs="Arial"/>
                <w:sz w:val="22"/>
                <w:szCs w:val="22"/>
                <w:lang w:val="en-GB"/>
              </w:rPr>
              <w:t>.</w:t>
            </w:r>
            <w:r w:rsidRPr="00F31DDE">
              <w:rPr>
                <w:rFonts w:cs="Arial"/>
                <w:sz w:val="22"/>
                <w:szCs w:val="22"/>
                <w:lang w:val="en-GB"/>
              </w:rPr>
              <w:t xml:space="preserve"> </w:t>
            </w:r>
          </w:p>
          <w:p w14:paraId="6FDF59C7" w14:textId="77777777" w:rsidR="009159B9" w:rsidRPr="00F31DDE" w:rsidRDefault="009159B9">
            <w:pPr>
              <w:pStyle w:val="ListParagraph"/>
              <w:numPr>
                <w:ilvl w:val="0"/>
                <w:numId w:val="18"/>
              </w:numPr>
              <w:spacing w:before="0" w:after="0" w:line="240" w:lineRule="auto"/>
              <w:ind w:left="456"/>
              <w:rPr>
                <w:rFonts w:cs="Arial"/>
                <w:sz w:val="22"/>
                <w:szCs w:val="22"/>
                <w:lang w:val="en-GB"/>
              </w:rPr>
            </w:pPr>
            <w:r w:rsidRPr="00F31DDE">
              <w:rPr>
                <w:rFonts w:cs="Arial"/>
                <w:sz w:val="22"/>
                <w:szCs w:val="22"/>
                <w:lang w:val="en-GB"/>
              </w:rPr>
              <w:t>subject to paragraph B4.3, in respect of each higher education course, academic regulations are designed to ensure the effective assessment of technical proficiency in the English language in a manner which appropriately reflects the level and content of the applicable higher education course; and</w:t>
            </w:r>
          </w:p>
          <w:p w14:paraId="0301B4A5" w14:textId="73FE4E31" w:rsidR="009159B9" w:rsidRPr="00F31DDE" w:rsidRDefault="009159B9">
            <w:pPr>
              <w:pStyle w:val="ListParagraph"/>
              <w:numPr>
                <w:ilvl w:val="0"/>
                <w:numId w:val="18"/>
              </w:numPr>
              <w:spacing w:before="0" w:after="0" w:line="240" w:lineRule="auto"/>
              <w:ind w:left="456"/>
              <w:rPr>
                <w:rFonts w:cs="Arial"/>
                <w:sz w:val="22"/>
                <w:szCs w:val="22"/>
                <w:lang w:val="en-GB"/>
              </w:rPr>
            </w:pPr>
            <w:r w:rsidRPr="00F31DDE">
              <w:rPr>
                <w:rFonts w:cs="Arial"/>
                <w:sz w:val="22"/>
                <w:szCs w:val="22"/>
                <w:lang w:val="en-GB"/>
              </w:rPr>
              <w:t>relevant awards granted to students are credible at the point of being granted and when compared to those granted previously.</w:t>
            </w:r>
          </w:p>
        </w:tc>
      </w:tr>
      <w:tr w:rsidR="009159B9" w:rsidRPr="00F31DDE" w14:paraId="11F56272" w14:textId="77777777" w:rsidTr="009159B9">
        <w:tc>
          <w:tcPr>
            <w:tcW w:w="9498" w:type="dxa"/>
          </w:tcPr>
          <w:p w14:paraId="4458B23F" w14:textId="09FB3E9A" w:rsidR="009159B9" w:rsidRPr="00F31DDE" w:rsidRDefault="006B5FB1" w:rsidP="002336C1">
            <w:pPr>
              <w:spacing w:before="0" w:after="0" w:line="240" w:lineRule="auto"/>
              <w:rPr>
                <w:rFonts w:cs="Arial"/>
                <w:sz w:val="22"/>
                <w:szCs w:val="22"/>
                <w:lang w:val="en-GB"/>
              </w:rPr>
            </w:pPr>
            <w:r w:rsidRPr="00F31DDE">
              <w:rPr>
                <w:rFonts w:cs="Arial"/>
                <w:sz w:val="22"/>
                <w:szCs w:val="22"/>
              </w:rPr>
              <w:t xml:space="preserve">Condition </w:t>
            </w:r>
            <w:r w:rsidR="009159B9" w:rsidRPr="00F31DDE">
              <w:rPr>
                <w:rFonts w:cs="Arial"/>
                <w:sz w:val="22"/>
                <w:szCs w:val="22"/>
                <w:lang w:val="en-GB"/>
              </w:rPr>
              <w:t>B5</w:t>
            </w:r>
            <w:r w:rsidR="0073514A">
              <w:rPr>
                <w:rFonts w:cs="Arial"/>
                <w:sz w:val="22"/>
                <w:szCs w:val="22"/>
                <w:lang w:val="en-GB"/>
              </w:rPr>
              <w:t xml:space="preserve">: </w:t>
            </w:r>
            <w:r w:rsidR="009159B9" w:rsidRPr="00F31DDE">
              <w:rPr>
                <w:rFonts w:cs="Arial"/>
                <w:sz w:val="22"/>
                <w:szCs w:val="22"/>
                <w:lang w:val="en-GB"/>
              </w:rPr>
              <w:t xml:space="preserve">Must ensure that, in respect of any relevant awards granted to students who complete a higher education course provided by, or on behalf of, the provider (whether or not the provider is the awarding body): </w:t>
            </w:r>
          </w:p>
          <w:p w14:paraId="2441E5E6" w14:textId="77777777" w:rsidR="009159B9" w:rsidRPr="00F31DDE" w:rsidRDefault="009159B9">
            <w:pPr>
              <w:pStyle w:val="ListParagraph"/>
              <w:numPr>
                <w:ilvl w:val="0"/>
                <w:numId w:val="19"/>
              </w:numPr>
              <w:spacing w:before="0" w:after="0" w:line="240" w:lineRule="auto"/>
              <w:ind w:left="456"/>
              <w:rPr>
                <w:rFonts w:cs="Arial"/>
                <w:sz w:val="22"/>
                <w:szCs w:val="22"/>
                <w:lang w:val="en-GB"/>
              </w:rPr>
            </w:pPr>
            <w:r w:rsidRPr="00F31DDE">
              <w:rPr>
                <w:rFonts w:cs="Arial"/>
                <w:sz w:val="22"/>
                <w:szCs w:val="22"/>
                <w:lang w:val="en-GB"/>
              </w:rPr>
              <w:t xml:space="preserve">any standards set appropriately reflect any applicable sector-recognised standards; and </w:t>
            </w:r>
          </w:p>
          <w:p w14:paraId="18C48D19" w14:textId="20BA704A" w:rsidR="009159B9" w:rsidRPr="00F31DDE" w:rsidRDefault="009159B9">
            <w:pPr>
              <w:pStyle w:val="ListParagraph"/>
              <w:numPr>
                <w:ilvl w:val="0"/>
                <w:numId w:val="19"/>
              </w:numPr>
              <w:spacing w:before="0" w:after="0" w:line="240" w:lineRule="auto"/>
              <w:ind w:left="456"/>
              <w:rPr>
                <w:rFonts w:cs="Arial"/>
                <w:sz w:val="22"/>
                <w:szCs w:val="22"/>
                <w:lang w:val="en-GB"/>
              </w:rPr>
            </w:pPr>
            <w:r w:rsidRPr="00F31DDE">
              <w:rPr>
                <w:rFonts w:cs="Arial"/>
                <w:sz w:val="22"/>
                <w:szCs w:val="22"/>
                <w:lang w:val="en-GB"/>
              </w:rPr>
              <w:t xml:space="preserve">awards are only granted to students whose knowledge and skills appropriately reflect any applicable sector-recognised standards. </w:t>
            </w:r>
          </w:p>
        </w:tc>
      </w:tr>
      <w:tr w:rsidR="009159B9" w:rsidRPr="00F31DDE" w14:paraId="7D1C8702" w14:textId="77777777" w:rsidTr="009159B9">
        <w:tc>
          <w:tcPr>
            <w:tcW w:w="9498" w:type="dxa"/>
          </w:tcPr>
          <w:p w14:paraId="0DCE79AC" w14:textId="42D0FD2C" w:rsidR="009159B9" w:rsidRPr="00F31DDE" w:rsidRDefault="009159B9" w:rsidP="002336C1">
            <w:pPr>
              <w:spacing w:before="0" w:after="0" w:line="240" w:lineRule="auto"/>
              <w:rPr>
                <w:rFonts w:cs="Arial"/>
                <w:sz w:val="22"/>
                <w:szCs w:val="22"/>
              </w:rPr>
            </w:pPr>
            <w:r w:rsidRPr="00F31DDE">
              <w:rPr>
                <w:rFonts w:cs="Arial"/>
                <w:sz w:val="22"/>
                <w:szCs w:val="22"/>
              </w:rPr>
              <w:t xml:space="preserve">Condition B6: </w:t>
            </w:r>
            <w:r w:rsidR="0073514A">
              <w:rPr>
                <w:rFonts w:cs="Arial"/>
                <w:sz w:val="22"/>
                <w:szCs w:val="22"/>
              </w:rPr>
              <w:t>Must p</w:t>
            </w:r>
            <w:r w:rsidRPr="00F31DDE">
              <w:rPr>
                <w:rFonts w:cs="Arial"/>
                <w:sz w:val="22"/>
                <w:szCs w:val="22"/>
              </w:rPr>
              <w:t>articipate in the Teaching Excellence Framework.</w:t>
            </w:r>
          </w:p>
        </w:tc>
      </w:tr>
      <w:tr w:rsidR="009159B9" w:rsidRPr="00F31DDE" w14:paraId="6E6EFF69" w14:textId="77777777" w:rsidTr="009159B9">
        <w:tc>
          <w:tcPr>
            <w:tcW w:w="9498" w:type="dxa"/>
            <w:shd w:val="clear" w:color="auto" w:fill="auto"/>
          </w:tcPr>
          <w:p w14:paraId="0C5EBD4C" w14:textId="77777777" w:rsidR="005E2DE8" w:rsidRDefault="005E2DE8" w:rsidP="00182FBE">
            <w:pPr>
              <w:spacing w:before="0" w:after="0" w:line="240" w:lineRule="auto"/>
              <w:rPr>
                <w:rFonts w:cs="Arial"/>
                <w:b/>
                <w:sz w:val="22"/>
                <w:szCs w:val="22"/>
              </w:rPr>
            </w:pPr>
          </w:p>
          <w:p w14:paraId="5A3D075D" w14:textId="0ED494D7" w:rsidR="004802BB" w:rsidRPr="00F31DDE" w:rsidRDefault="009159B9" w:rsidP="00182FBE">
            <w:pPr>
              <w:spacing w:before="0" w:after="0" w:line="240" w:lineRule="auto"/>
              <w:rPr>
                <w:rFonts w:cs="Arial"/>
                <w:sz w:val="22"/>
                <w:szCs w:val="22"/>
              </w:rPr>
            </w:pPr>
            <w:r w:rsidRPr="00F31DDE">
              <w:rPr>
                <w:rFonts w:cs="Arial"/>
                <w:b/>
                <w:sz w:val="22"/>
                <w:szCs w:val="22"/>
              </w:rPr>
              <w:t>C: Protecting the interests of all students</w:t>
            </w:r>
          </w:p>
        </w:tc>
      </w:tr>
      <w:tr w:rsidR="009159B9" w:rsidRPr="00F31DDE" w14:paraId="152FFE39" w14:textId="77777777" w:rsidTr="009159B9">
        <w:tc>
          <w:tcPr>
            <w:tcW w:w="9498" w:type="dxa"/>
          </w:tcPr>
          <w:p w14:paraId="3349487F" w14:textId="77777777" w:rsidR="009159B9" w:rsidRPr="00F31DDE" w:rsidRDefault="009159B9" w:rsidP="002336C1">
            <w:pPr>
              <w:spacing w:before="0" w:after="0" w:line="240" w:lineRule="auto"/>
              <w:rPr>
                <w:rFonts w:cs="Arial"/>
                <w:sz w:val="22"/>
                <w:szCs w:val="22"/>
              </w:rPr>
            </w:pPr>
            <w:r w:rsidRPr="00F31DDE">
              <w:rPr>
                <w:rFonts w:cs="Arial"/>
                <w:sz w:val="22"/>
                <w:szCs w:val="22"/>
              </w:rPr>
              <w:t>Condition C1: Demonstrate that in developing and implementing policies, procedures, and terms and conditions due regard has been given to relevant guidance on how to comply with consumer protection law.</w:t>
            </w:r>
          </w:p>
        </w:tc>
      </w:tr>
      <w:tr w:rsidR="009159B9" w:rsidRPr="00F31DDE" w14:paraId="0A89BD83" w14:textId="77777777" w:rsidTr="009159B9">
        <w:tc>
          <w:tcPr>
            <w:tcW w:w="9498" w:type="dxa"/>
          </w:tcPr>
          <w:p w14:paraId="6D388EAC" w14:textId="16459BFA" w:rsidR="009159B9" w:rsidRPr="00F31DDE" w:rsidRDefault="009159B9" w:rsidP="002336C1">
            <w:pPr>
              <w:spacing w:before="0" w:after="0" w:line="240" w:lineRule="auto"/>
              <w:rPr>
                <w:rFonts w:cs="Arial"/>
                <w:sz w:val="22"/>
                <w:szCs w:val="22"/>
              </w:rPr>
            </w:pPr>
            <w:r w:rsidRPr="00F31DDE">
              <w:rPr>
                <w:rFonts w:cs="Arial"/>
                <w:sz w:val="22"/>
                <w:szCs w:val="22"/>
              </w:rPr>
              <w:lastRenderedPageBreak/>
              <w:t>Condition C2: Co-operate with the requirements of the student complaints scheme run by the OIA for higher education and make students aware of the</w:t>
            </w:r>
            <w:r w:rsidR="004D1106" w:rsidRPr="00F31DDE">
              <w:rPr>
                <w:rFonts w:cs="Arial"/>
                <w:sz w:val="22"/>
                <w:szCs w:val="22"/>
              </w:rPr>
              <w:t>ir ability to use the</w:t>
            </w:r>
            <w:r w:rsidRPr="00F31DDE">
              <w:rPr>
                <w:rFonts w:cs="Arial"/>
                <w:sz w:val="22"/>
                <w:szCs w:val="22"/>
              </w:rPr>
              <w:t xml:space="preserve"> scheme.</w:t>
            </w:r>
          </w:p>
        </w:tc>
      </w:tr>
      <w:tr w:rsidR="009159B9" w:rsidRPr="00F31DDE" w14:paraId="5D3EAAC7" w14:textId="77777777" w:rsidTr="009159B9">
        <w:tc>
          <w:tcPr>
            <w:tcW w:w="9498" w:type="dxa"/>
          </w:tcPr>
          <w:p w14:paraId="61380FD2" w14:textId="0F46E668" w:rsidR="009159B9" w:rsidRPr="00F31DDE" w:rsidRDefault="009159B9" w:rsidP="002336C1">
            <w:pPr>
              <w:spacing w:before="0" w:after="0" w:line="240" w:lineRule="auto"/>
              <w:rPr>
                <w:rFonts w:cs="Arial"/>
                <w:sz w:val="22"/>
                <w:szCs w:val="22"/>
              </w:rPr>
            </w:pPr>
            <w:r w:rsidRPr="00F31DDE">
              <w:rPr>
                <w:rFonts w:cs="Arial"/>
                <w:sz w:val="22"/>
                <w:szCs w:val="22"/>
              </w:rPr>
              <w:t>Condition C3: Must:</w:t>
            </w:r>
          </w:p>
          <w:p w14:paraId="3EC3E533" w14:textId="42EDB7E0" w:rsidR="009159B9" w:rsidRPr="00F31DDE" w:rsidRDefault="009159B9" w:rsidP="005C331F">
            <w:pPr>
              <w:pStyle w:val="ListParagraph"/>
              <w:widowControl/>
              <w:numPr>
                <w:ilvl w:val="0"/>
                <w:numId w:val="2"/>
              </w:numPr>
              <w:spacing w:before="0" w:after="0" w:line="240" w:lineRule="auto"/>
              <w:ind w:left="589" w:hanging="567"/>
              <w:contextualSpacing/>
              <w:rPr>
                <w:rFonts w:cs="Arial"/>
                <w:sz w:val="22"/>
                <w:szCs w:val="22"/>
              </w:rPr>
            </w:pPr>
            <w:r w:rsidRPr="00F31DDE">
              <w:rPr>
                <w:rFonts w:cs="Arial"/>
                <w:sz w:val="22"/>
                <w:szCs w:val="22"/>
              </w:rPr>
              <w:t>have in force and publish a student protection plan that has been approved by the OfS as appropriate for its assessment of the regulatory risk presented by the provider and for the risk to continuation of study of all of its students.</w:t>
            </w:r>
          </w:p>
          <w:p w14:paraId="7C3C9D4E" w14:textId="1327C824" w:rsidR="009159B9" w:rsidRPr="00F31DDE" w:rsidRDefault="009159B9" w:rsidP="002336C1">
            <w:pPr>
              <w:pStyle w:val="ListParagraph"/>
              <w:widowControl/>
              <w:numPr>
                <w:ilvl w:val="0"/>
                <w:numId w:val="2"/>
              </w:numPr>
              <w:spacing w:before="0" w:after="0" w:line="240" w:lineRule="auto"/>
              <w:ind w:left="589" w:hanging="567"/>
              <w:contextualSpacing/>
              <w:rPr>
                <w:rFonts w:cs="Arial"/>
                <w:sz w:val="22"/>
                <w:szCs w:val="22"/>
              </w:rPr>
            </w:pPr>
            <w:r w:rsidRPr="00F31DDE">
              <w:rPr>
                <w:rFonts w:cs="Arial"/>
                <w:sz w:val="22"/>
                <w:szCs w:val="22"/>
              </w:rPr>
              <w:t>take all reasonable steps to implement the provisions of the plan if the events set out in the plan take place</w:t>
            </w:r>
            <w:r w:rsidR="00A61D1A">
              <w:rPr>
                <w:rFonts w:cs="Arial"/>
                <w:sz w:val="22"/>
                <w:szCs w:val="22"/>
              </w:rPr>
              <w:t>.</w:t>
            </w:r>
          </w:p>
          <w:p w14:paraId="3C6BB9FD" w14:textId="77777777" w:rsidR="009159B9" w:rsidRPr="00F31DDE" w:rsidRDefault="009159B9" w:rsidP="002336C1">
            <w:pPr>
              <w:pStyle w:val="ListParagraph"/>
              <w:widowControl/>
              <w:numPr>
                <w:ilvl w:val="0"/>
                <w:numId w:val="2"/>
              </w:numPr>
              <w:spacing w:before="0" w:after="0" w:line="240" w:lineRule="auto"/>
              <w:ind w:left="589" w:hanging="567"/>
              <w:contextualSpacing/>
              <w:rPr>
                <w:rFonts w:cs="Arial"/>
                <w:sz w:val="22"/>
                <w:szCs w:val="22"/>
              </w:rPr>
            </w:pPr>
            <w:r w:rsidRPr="00F31DDE">
              <w:rPr>
                <w:rFonts w:cs="Arial"/>
                <w:sz w:val="22"/>
                <w:szCs w:val="22"/>
              </w:rPr>
              <w:t>inform the OfS of events, except closure of courses, that require the implementation of the plan.</w:t>
            </w:r>
          </w:p>
        </w:tc>
      </w:tr>
      <w:tr w:rsidR="009159B9" w:rsidRPr="00F31DDE" w14:paraId="68F71BAF" w14:textId="77777777" w:rsidTr="009159B9">
        <w:tc>
          <w:tcPr>
            <w:tcW w:w="9498" w:type="dxa"/>
          </w:tcPr>
          <w:p w14:paraId="639DEF74" w14:textId="77777777" w:rsidR="009159B9" w:rsidRPr="00F31DDE" w:rsidRDefault="009159B9" w:rsidP="002336C1">
            <w:pPr>
              <w:spacing w:before="0" w:after="0" w:line="240" w:lineRule="auto"/>
              <w:rPr>
                <w:rFonts w:cs="Arial"/>
                <w:sz w:val="22"/>
                <w:szCs w:val="22"/>
              </w:rPr>
            </w:pPr>
            <w:r w:rsidRPr="00F31DDE">
              <w:rPr>
                <w:rFonts w:cs="Arial"/>
                <w:sz w:val="22"/>
                <w:szCs w:val="22"/>
              </w:rPr>
              <w:t xml:space="preserve">Condition C4: </w:t>
            </w:r>
          </w:p>
          <w:p w14:paraId="1FCEA984" w14:textId="143BD2DA" w:rsidR="009159B9" w:rsidRPr="00F31DDE" w:rsidRDefault="009159B9">
            <w:pPr>
              <w:pStyle w:val="ListParagraph"/>
              <w:numPr>
                <w:ilvl w:val="0"/>
                <w:numId w:val="13"/>
              </w:numPr>
              <w:spacing w:before="0" w:after="0" w:line="240" w:lineRule="auto"/>
              <w:rPr>
                <w:rFonts w:cs="Arial"/>
                <w:sz w:val="22"/>
                <w:szCs w:val="22"/>
              </w:rPr>
            </w:pPr>
            <w:r w:rsidRPr="00F31DDE">
              <w:rPr>
                <w:rFonts w:cs="Arial"/>
                <w:sz w:val="22"/>
                <w:szCs w:val="22"/>
              </w:rPr>
              <w:t xml:space="preserve">The provider must comply with any Student Protection Direction in circumstances where the OfS reasonably considers that there is a material risk that the provider </w:t>
            </w:r>
            <w:r w:rsidR="00077EEE" w:rsidRPr="00F31DDE">
              <w:rPr>
                <w:rFonts w:cs="Arial"/>
                <w:sz w:val="22"/>
                <w:szCs w:val="22"/>
              </w:rPr>
              <w:t>will</w:t>
            </w:r>
            <w:r w:rsidR="00D22A61" w:rsidRPr="00F31DDE">
              <w:rPr>
                <w:rFonts w:cs="Arial"/>
                <w:sz w:val="22"/>
                <w:szCs w:val="22"/>
              </w:rPr>
              <w:t>,</w:t>
            </w:r>
            <w:r w:rsidR="00077EEE" w:rsidRPr="00F31DDE">
              <w:rPr>
                <w:rFonts w:cs="Arial"/>
                <w:sz w:val="22"/>
                <w:szCs w:val="22"/>
              </w:rPr>
              <w:t xml:space="preserve"> or</w:t>
            </w:r>
            <w:r w:rsidRPr="00F31DDE">
              <w:rPr>
                <w:rFonts w:cs="Arial"/>
                <w:sz w:val="22"/>
                <w:szCs w:val="22"/>
              </w:rPr>
              <w:t xml:space="preserve"> will be required by the operation of law to, fully or substantially cease the provision of higher education in England (“Market Exit Risk”).</w:t>
            </w:r>
          </w:p>
          <w:p w14:paraId="15E7C462" w14:textId="77777777" w:rsidR="009159B9" w:rsidRPr="00F31DDE" w:rsidRDefault="009159B9">
            <w:pPr>
              <w:pStyle w:val="ListParagraph"/>
              <w:numPr>
                <w:ilvl w:val="0"/>
                <w:numId w:val="13"/>
              </w:numPr>
              <w:spacing w:before="0" w:after="0" w:line="240" w:lineRule="auto"/>
              <w:rPr>
                <w:rFonts w:cs="Arial"/>
                <w:sz w:val="22"/>
                <w:szCs w:val="22"/>
              </w:rPr>
            </w:pPr>
            <w:r w:rsidRPr="00F31DDE">
              <w:rPr>
                <w:rFonts w:cs="Arial"/>
                <w:sz w:val="22"/>
                <w:szCs w:val="22"/>
              </w:rPr>
              <w:t>A Student Protection Direction may be varied or revoked (wholly or in part) by express provision in a subsequent Student Protection Direction issued by the OfS in accordance with this condition of registration, and the OfS may otherwise revoke a Student Protection Direction by issuing a notice in writing to the provider.</w:t>
            </w:r>
          </w:p>
          <w:p w14:paraId="1ED4666B" w14:textId="276A3902" w:rsidR="009159B9" w:rsidRPr="00F31DDE" w:rsidRDefault="009159B9">
            <w:pPr>
              <w:pStyle w:val="ListParagraph"/>
              <w:numPr>
                <w:ilvl w:val="0"/>
                <w:numId w:val="13"/>
              </w:numPr>
              <w:spacing w:before="0" w:after="0" w:line="240" w:lineRule="auto"/>
              <w:rPr>
                <w:rFonts w:cs="Arial"/>
                <w:sz w:val="22"/>
                <w:szCs w:val="22"/>
              </w:rPr>
            </w:pPr>
            <w:r w:rsidRPr="00F31DDE">
              <w:rPr>
                <w:rFonts w:cs="Arial"/>
                <w:sz w:val="22"/>
                <w:szCs w:val="22"/>
              </w:rPr>
              <w:t>A Student Protection Direction (or, as the case may be, part of a Student Protection Direction) will cease to have effect in accordance with the following provisions:</w:t>
            </w:r>
          </w:p>
          <w:p w14:paraId="30E870C5" w14:textId="3E53D094" w:rsidR="009159B9" w:rsidRPr="00F31DDE" w:rsidRDefault="009159B9" w:rsidP="002336C1">
            <w:pPr>
              <w:spacing w:before="0" w:after="0" w:line="240" w:lineRule="auto"/>
              <w:ind w:left="720"/>
              <w:rPr>
                <w:rFonts w:cs="Arial"/>
                <w:sz w:val="22"/>
                <w:szCs w:val="22"/>
              </w:rPr>
            </w:pPr>
            <w:r w:rsidRPr="00F31DDE">
              <w:rPr>
                <w:rFonts w:cs="Arial"/>
                <w:sz w:val="22"/>
                <w:szCs w:val="22"/>
              </w:rPr>
              <w:t>a. in circumstances where a Student Protection Direction is varied or revoked (wholly or in part) by a subsequent Student Protection Direction, on and from the time and date that the subsequent Student Protection Direction takes effect; or</w:t>
            </w:r>
          </w:p>
          <w:p w14:paraId="01C97F3D" w14:textId="2E312973" w:rsidR="009159B9" w:rsidRPr="00F31DDE" w:rsidRDefault="009159B9" w:rsidP="002336C1">
            <w:pPr>
              <w:spacing w:before="0" w:after="0" w:line="240" w:lineRule="auto"/>
              <w:ind w:left="740"/>
              <w:rPr>
                <w:rFonts w:cs="Arial"/>
                <w:sz w:val="22"/>
                <w:szCs w:val="22"/>
              </w:rPr>
            </w:pPr>
            <w:r w:rsidRPr="00F31DDE">
              <w:rPr>
                <w:rFonts w:cs="Arial"/>
                <w:sz w:val="22"/>
                <w:szCs w:val="22"/>
              </w:rPr>
              <w:t>b. in circumstances where a Student Protection Direction is revoked by a notice in writing, on and from the time and date specified in that notice in writing</w:t>
            </w:r>
          </w:p>
          <w:p w14:paraId="151BB042" w14:textId="1C8F669E" w:rsidR="00F92235" w:rsidRPr="00F31DDE" w:rsidRDefault="009159B9" w:rsidP="005E2DE8">
            <w:pPr>
              <w:pStyle w:val="ListParagraph"/>
              <w:numPr>
                <w:ilvl w:val="0"/>
                <w:numId w:val="13"/>
              </w:numPr>
              <w:spacing w:before="0" w:after="0" w:line="240" w:lineRule="auto"/>
              <w:rPr>
                <w:rFonts w:cs="Arial"/>
                <w:sz w:val="22"/>
                <w:szCs w:val="22"/>
              </w:rPr>
            </w:pPr>
            <w:r w:rsidRPr="00F31DDE">
              <w:rPr>
                <w:rFonts w:cs="Arial"/>
                <w:sz w:val="22"/>
                <w:szCs w:val="22"/>
              </w:rPr>
              <w:t>Where a Student Protection Direction ceases to have effect at any time (for any reason), that cessation does not in any way affect the ability of the OfS to investigate and/or take any form of regulatory or enforcement action in respect of any non-compliance with that Student Protection Direction (whether or not the non-compliance remains ongoing in nature) which took place during the period that the Student Protection Direction was in effect.</w:t>
            </w:r>
          </w:p>
        </w:tc>
      </w:tr>
      <w:tr w:rsidR="009159B9" w:rsidRPr="00F31DDE" w14:paraId="20AD0A8F" w14:textId="77777777" w:rsidTr="009159B9">
        <w:tc>
          <w:tcPr>
            <w:tcW w:w="9498" w:type="dxa"/>
            <w:shd w:val="clear" w:color="auto" w:fill="auto"/>
          </w:tcPr>
          <w:p w14:paraId="4755C1D3" w14:textId="77777777" w:rsidR="005E2DE8" w:rsidRDefault="005E2DE8" w:rsidP="00182FBE">
            <w:pPr>
              <w:spacing w:before="0" w:after="0" w:line="240" w:lineRule="auto"/>
              <w:rPr>
                <w:rFonts w:cs="Arial"/>
                <w:b/>
                <w:sz w:val="22"/>
                <w:szCs w:val="22"/>
              </w:rPr>
            </w:pPr>
          </w:p>
          <w:p w14:paraId="6FBD3612" w14:textId="44608EDE" w:rsidR="00DD06C0" w:rsidRPr="00F31DDE" w:rsidRDefault="009159B9" w:rsidP="00182FBE">
            <w:pPr>
              <w:spacing w:before="0" w:after="0" w:line="240" w:lineRule="auto"/>
              <w:rPr>
                <w:rFonts w:cs="Arial"/>
                <w:sz w:val="22"/>
                <w:szCs w:val="22"/>
              </w:rPr>
            </w:pPr>
            <w:r w:rsidRPr="00F31DDE">
              <w:rPr>
                <w:rFonts w:cs="Arial"/>
                <w:b/>
                <w:sz w:val="22"/>
                <w:szCs w:val="22"/>
              </w:rPr>
              <w:t>D: Financial sustainability</w:t>
            </w:r>
          </w:p>
        </w:tc>
      </w:tr>
      <w:tr w:rsidR="009159B9" w:rsidRPr="00F31DDE" w14:paraId="5A1073CD" w14:textId="77777777" w:rsidTr="009159B9">
        <w:tc>
          <w:tcPr>
            <w:tcW w:w="9498" w:type="dxa"/>
          </w:tcPr>
          <w:p w14:paraId="297AC96C" w14:textId="792254EB" w:rsidR="009159B9" w:rsidRPr="00F31DDE" w:rsidRDefault="009159B9" w:rsidP="002336C1">
            <w:pPr>
              <w:spacing w:before="0" w:after="0" w:line="240" w:lineRule="auto"/>
              <w:rPr>
                <w:rFonts w:cs="Arial"/>
                <w:sz w:val="22"/>
                <w:szCs w:val="22"/>
              </w:rPr>
            </w:pPr>
            <w:r w:rsidRPr="00F31DDE">
              <w:rPr>
                <w:rFonts w:cs="Arial"/>
                <w:sz w:val="22"/>
                <w:szCs w:val="22"/>
              </w:rPr>
              <w:t>Condition D: Must:</w:t>
            </w:r>
          </w:p>
          <w:p w14:paraId="69635231" w14:textId="77777777" w:rsidR="00A61D1A" w:rsidRDefault="009159B9" w:rsidP="00133956">
            <w:pPr>
              <w:pStyle w:val="ListParagraph"/>
              <w:widowControl/>
              <w:numPr>
                <w:ilvl w:val="0"/>
                <w:numId w:val="7"/>
              </w:numPr>
              <w:spacing w:before="0" w:after="0" w:line="240" w:lineRule="auto"/>
              <w:ind w:left="596" w:hanging="425"/>
              <w:contextualSpacing/>
              <w:rPr>
                <w:rFonts w:cs="Arial"/>
                <w:sz w:val="22"/>
                <w:szCs w:val="22"/>
              </w:rPr>
            </w:pPr>
            <w:r w:rsidRPr="00A61D1A">
              <w:rPr>
                <w:rFonts w:cs="Arial"/>
                <w:sz w:val="22"/>
                <w:szCs w:val="22"/>
              </w:rPr>
              <w:t>be financially viable</w:t>
            </w:r>
            <w:r w:rsidR="00A61D1A">
              <w:rPr>
                <w:rFonts w:cs="Arial"/>
                <w:sz w:val="22"/>
                <w:szCs w:val="22"/>
              </w:rPr>
              <w:t>.</w:t>
            </w:r>
          </w:p>
          <w:p w14:paraId="6ED38DB5" w14:textId="3700924B" w:rsidR="009159B9" w:rsidRPr="00A61D1A" w:rsidRDefault="009159B9" w:rsidP="00133956">
            <w:pPr>
              <w:pStyle w:val="ListParagraph"/>
              <w:widowControl/>
              <w:numPr>
                <w:ilvl w:val="0"/>
                <w:numId w:val="7"/>
              </w:numPr>
              <w:spacing w:before="0" w:after="0" w:line="240" w:lineRule="auto"/>
              <w:ind w:left="596" w:hanging="425"/>
              <w:contextualSpacing/>
              <w:rPr>
                <w:rFonts w:cs="Arial"/>
                <w:sz w:val="22"/>
                <w:szCs w:val="22"/>
              </w:rPr>
            </w:pPr>
            <w:r w:rsidRPr="00A61D1A">
              <w:rPr>
                <w:rFonts w:cs="Arial"/>
                <w:sz w:val="22"/>
                <w:szCs w:val="22"/>
              </w:rPr>
              <w:t>be financially sustainable</w:t>
            </w:r>
            <w:r w:rsidR="00A61D1A">
              <w:rPr>
                <w:rFonts w:cs="Arial"/>
                <w:sz w:val="22"/>
                <w:szCs w:val="22"/>
              </w:rPr>
              <w:t>.</w:t>
            </w:r>
          </w:p>
          <w:p w14:paraId="44F044F3" w14:textId="10A20D38" w:rsidR="009159B9" w:rsidRPr="00F31DDE" w:rsidRDefault="009159B9" w:rsidP="002336C1">
            <w:pPr>
              <w:pStyle w:val="ListParagraph"/>
              <w:widowControl/>
              <w:numPr>
                <w:ilvl w:val="0"/>
                <w:numId w:val="7"/>
              </w:numPr>
              <w:spacing w:before="0" w:after="0" w:line="240" w:lineRule="auto"/>
              <w:ind w:left="596" w:hanging="425"/>
              <w:contextualSpacing/>
              <w:rPr>
                <w:rFonts w:cs="Arial"/>
                <w:sz w:val="22"/>
                <w:szCs w:val="22"/>
              </w:rPr>
            </w:pPr>
            <w:r w:rsidRPr="00F31DDE">
              <w:rPr>
                <w:rFonts w:cs="Arial"/>
                <w:sz w:val="22"/>
                <w:szCs w:val="22"/>
              </w:rPr>
              <w:t>have the necessary financial resources to provide and fully deliver the higher education courses advertised and contracted to deliver</w:t>
            </w:r>
            <w:r w:rsidR="00A61D1A">
              <w:rPr>
                <w:rFonts w:cs="Arial"/>
                <w:sz w:val="22"/>
                <w:szCs w:val="22"/>
              </w:rPr>
              <w:t>.</w:t>
            </w:r>
          </w:p>
          <w:p w14:paraId="50920334" w14:textId="19F22E23" w:rsidR="00DD06C0" w:rsidRPr="00F31DDE" w:rsidRDefault="009159B9" w:rsidP="005E2DE8">
            <w:pPr>
              <w:pStyle w:val="ListParagraph"/>
              <w:widowControl/>
              <w:numPr>
                <w:ilvl w:val="0"/>
                <w:numId w:val="7"/>
              </w:numPr>
              <w:spacing w:before="0" w:after="0" w:line="240" w:lineRule="auto"/>
              <w:ind w:left="596" w:hanging="425"/>
              <w:contextualSpacing/>
              <w:rPr>
                <w:rFonts w:cs="Arial"/>
                <w:sz w:val="22"/>
                <w:szCs w:val="22"/>
              </w:rPr>
            </w:pPr>
            <w:r w:rsidRPr="00F31DDE">
              <w:rPr>
                <w:rFonts w:cs="Arial"/>
                <w:sz w:val="22"/>
                <w:szCs w:val="22"/>
              </w:rPr>
              <w:t>have the financial resources to continue to comply with all conditions of registration.</w:t>
            </w:r>
          </w:p>
        </w:tc>
      </w:tr>
      <w:tr w:rsidR="009159B9" w:rsidRPr="00F31DDE" w14:paraId="1B41BA0A" w14:textId="77777777" w:rsidTr="009159B9">
        <w:tc>
          <w:tcPr>
            <w:tcW w:w="9498" w:type="dxa"/>
            <w:shd w:val="clear" w:color="auto" w:fill="auto"/>
          </w:tcPr>
          <w:p w14:paraId="19505E14" w14:textId="77777777" w:rsidR="005E2DE8" w:rsidRDefault="005E2DE8" w:rsidP="00182FBE">
            <w:pPr>
              <w:spacing w:before="0" w:after="0" w:line="240" w:lineRule="auto"/>
              <w:rPr>
                <w:rFonts w:cs="Arial"/>
                <w:b/>
                <w:sz w:val="22"/>
                <w:szCs w:val="22"/>
              </w:rPr>
            </w:pPr>
          </w:p>
          <w:p w14:paraId="316E9DDD" w14:textId="7AE0B36D" w:rsidR="00DD06C0" w:rsidRPr="00F31DDE" w:rsidRDefault="009159B9" w:rsidP="00182FBE">
            <w:pPr>
              <w:spacing w:before="0" w:after="0" w:line="240" w:lineRule="auto"/>
              <w:rPr>
                <w:rFonts w:cs="Arial"/>
                <w:sz w:val="22"/>
                <w:szCs w:val="22"/>
              </w:rPr>
            </w:pPr>
            <w:r w:rsidRPr="00F31DDE">
              <w:rPr>
                <w:rFonts w:cs="Arial"/>
                <w:b/>
                <w:sz w:val="22"/>
                <w:szCs w:val="22"/>
              </w:rPr>
              <w:t>E: Good governance</w:t>
            </w:r>
          </w:p>
        </w:tc>
      </w:tr>
      <w:tr w:rsidR="009159B9" w:rsidRPr="00F31DDE" w14:paraId="03700CA5" w14:textId="77777777" w:rsidTr="009159B9">
        <w:tc>
          <w:tcPr>
            <w:tcW w:w="9498" w:type="dxa"/>
            <w:shd w:val="clear" w:color="auto" w:fill="auto"/>
          </w:tcPr>
          <w:p w14:paraId="438AC27C" w14:textId="0E745FD4" w:rsidR="009159B9" w:rsidRPr="00F31DDE" w:rsidRDefault="009159B9" w:rsidP="002336C1">
            <w:pPr>
              <w:spacing w:before="0" w:after="0" w:line="240" w:lineRule="auto"/>
              <w:rPr>
                <w:rFonts w:cs="Arial"/>
                <w:sz w:val="22"/>
                <w:szCs w:val="22"/>
              </w:rPr>
            </w:pPr>
            <w:r w:rsidRPr="00F31DDE">
              <w:rPr>
                <w:rFonts w:cs="Arial"/>
                <w:sz w:val="22"/>
                <w:szCs w:val="22"/>
              </w:rPr>
              <w:t xml:space="preserve">Condition E1: The governing </w:t>
            </w:r>
            <w:r w:rsidR="00E8393B">
              <w:rPr>
                <w:rFonts w:cs="Arial"/>
                <w:sz w:val="22"/>
                <w:szCs w:val="22"/>
              </w:rPr>
              <w:t>documents</w:t>
            </w:r>
            <w:r w:rsidRPr="00F31DDE">
              <w:rPr>
                <w:rFonts w:cs="Arial"/>
                <w:sz w:val="22"/>
                <w:szCs w:val="22"/>
              </w:rPr>
              <w:t xml:space="preserve"> must uphold the public interest governance principles that are applicable to the University.</w:t>
            </w:r>
          </w:p>
        </w:tc>
      </w:tr>
      <w:tr w:rsidR="009159B9" w:rsidRPr="00F31DDE" w14:paraId="21A405F2" w14:textId="77777777" w:rsidTr="009159B9">
        <w:tc>
          <w:tcPr>
            <w:tcW w:w="9498" w:type="dxa"/>
          </w:tcPr>
          <w:p w14:paraId="7CA1DA33" w14:textId="77777777" w:rsidR="009159B9" w:rsidRPr="00F31DDE" w:rsidRDefault="009159B9" w:rsidP="002336C1">
            <w:pPr>
              <w:spacing w:before="0" w:after="0" w:line="240" w:lineRule="auto"/>
              <w:rPr>
                <w:rFonts w:cs="Arial"/>
                <w:sz w:val="22"/>
                <w:szCs w:val="22"/>
              </w:rPr>
            </w:pPr>
            <w:r w:rsidRPr="00F31DDE">
              <w:rPr>
                <w:rFonts w:cs="Arial"/>
                <w:sz w:val="22"/>
                <w:szCs w:val="22"/>
              </w:rPr>
              <w:t>Condition E2: The University must have in place adequate and effective management and governance arrangements to:</w:t>
            </w:r>
          </w:p>
          <w:p w14:paraId="683CC292" w14:textId="5E0CFAD7" w:rsidR="009159B9" w:rsidRPr="00F31DDE" w:rsidRDefault="009159B9" w:rsidP="002336C1">
            <w:pPr>
              <w:pStyle w:val="ListParagraph"/>
              <w:widowControl/>
              <w:numPr>
                <w:ilvl w:val="0"/>
                <w:numId w:val="3"/>
              </w:numPr>
              <w:spacing w:before="0" w:after="0" w:line="240" w:lineRule="auto"/>
              <w:ind w:left="589" w:hanging="567"/>
              <w:contextualSpacing/>
              <w:rPr>
                <w:rFonts w:cs="Arial"/>
                <w:sz w:val="22"/>
                <w:szCs w:val="22"/>
              </w:rPr>
            </w:pPr>
            <w:r w:rsidRPr="00F31DDE">
              <w:rPr>
                <w:rFonts w:cs="Arial"/>
                <w:sz w:val="22"/>
                <w:szCs w:val="22"/>
              </w:rPr>
              <w:t>operate in accordance with its governing documents</w:t>
            </w:r>
            <w:r w:rsidR="00FF67D8">
              <w:rPr>
                <w:rFonts w:cs="Arial"/>
                <w:sz w:val="22"/>
                <w:szCs w:val="22"/>
              </w:rPr>
              <w:t>.</w:t>
            </w:r>
          </w:p>
          <w:p w14:paraId="7E01588A" w14:textId="22731790" w:rsidR="009159B9" w:rsidRPr="00F31DDE" w:rsidRDefault="009159B9" w:rsidP="002336C1">
            <w:pPr>
              <w:pStyle w:val="ListParagraph"/>
              <w:widowControl/>
              <w:numPr>
                <w:ilvl w:val="0"/>
                <w:numId w:val="3"/>
              </w:numPr>
              <w:spacing w:before="0" w:after="0" w:line="240" w:lineRule="auto"/>
              <w:ind w:left="589" w:hanging="567"/>
              <w:contextualSpacing/>
              <w:rPr>
                <w:rFonts w:cs="Arial"/>
                <w:sz w:val="22"/>
                <w:szCs w:val="22"/>
              </w:rPr>
            </w:pPr>
            <w:r w:rsidRPr="00F31DDE">
              <w:rPr>
                <w:rFonts w:cs="Arial"/>
                <w:sz w:val="22"/>
                <w:szCs w:val="22"/>
              </w:rPr>
              <w:t>deliver, in practice, the public interest governance principles that are applicable to it</w:t>
            </w:r>
            <w:r w:rsidR="00FF67D8">
              <w:rPr>
                <w:rFonts w:cs="Arial"/>
                <w:sz w:val="22"/>
                <w:szCs w:val="22"/>
              </w:rPr>
              <w:t>.</w:t>
            </w:r>
          </w:p>
          <w:p w14:paraId="14AEAFDB" w14:textId="77777777" w:rsidR="009159B9" w:rsidRPr="00F31DDE" w:rsidRDefault="009159B9" w:rsidP="002336C1">
            <w:pPr>
              <w:pStyle w:val="ListParagraph"/>
              <w:widowControl/>
              <w:numPr>
                <w:ilvl w:val="0"/>
                <w:numId w:val="3"/>
              </w:numPr>
              <w:spacing w:before="0" w:after="0" w:line="240" w:lineRule="auto"/>
              <w:ind w:left="589" w:hanging="567"/>
              <w:contextualSpacing/>
              <w:rPr>
                <w:rFonts w:cs="Arial"/>
                <w:sz w:val="22"/>
                <w:szCs w:val="22"/>
              </w:rPr>
            </w:pPr>
            <w:r w:rsidRPr="00F31DDE">
              <w:rPr>
                <w:rFonts w:cs="Arial"/>
                <w:sz w:val="22"/>
                <w:szCs w:val="22"/>
              </w:rPr>
              <w:t>provide and fully deliver the higher education courses advertised; and</w:t>
            </w:r>
          </w:p>
          <w:p w14:paraId="0C9D12A5" w14:textId="77777777" w:rsidR="009159B9" w:rsidRPr="00F31DDE" w:rsidRDefault="009159B9" w:rsidP="002336C1">
            <w:pPr>
              <w:pStyle w:val="ListParagraph"/>
              <w:widowControl/>
              <w:numPr>
                <w:ilvl w:val="0"/>
                <w:numId w:val="3"/>
              </w:numPr>
              <w:spacing w:before="0" w:after="0" w:line="240" w:lineRule="auto"/>
              <w:ind w:left="589" w:hanging="567"/>
              <w:contextualSpacing/>
              <w:rPr>
                <w:rFonts w:cs="Arial"/>
                <w:sz w:val="22"/>
                <w:szCs w:val="22"/>
              </w:rPr>
            </w:pPr>
            <w:r w:rsidRPr="00F31DDE">
              <w:rPr>
                <w:rFonts w:cs="Arial"/>
                <w:sz w:val="22"/>
                <w:szCs w:val="22"/>
              </w:rPr>
              <w:t>continue to comply with all conditions of registration.</w:t>
            </w:r>
          </w:p>
        </w:tc>
      </w:tr>
      <w:tr w:rsidR="009159B9" w:rsidRPr="00F31DDE" w14:paraId="767B70FA" w14:textId="77777777" w:rsidTr="009159B9">
        <w:tc>
          <w:tcPr>
            <w:tcW w:w="9498" w:type="dxa"/>
          </w:tcPr>
          <w:p w14:paraId="2C84CC4A" w14:textId="77777777"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E3: The governing body must:</w:t>
            </w:r>
          </w:p>
          <w:p w14:paraId="7D9DEF46" w14:textId="3FF03276" w:rsidR="009159B9" w:rsidRPr="00F31DDE" w:rsidRDefault="009159B9" w:rsidP="002336C1">
            <w:pPr>
              <w:pStyle w:val="ListParagraph"/>
              <w:widowControl/>
              <w:numPr>
                <w:ilvl w:val="0"/>
                <w:numId w:val="4"/>
              </w:numPr>
              <w:spacing w:before="0" w:after="0" w:line="240" w:lineRule="auto"/>
              <w:ind w:left="589" w:hanging="567"/>
              <w:contextualSpacing/>
              <w:rPr>
                <w:rFonts w:cs="Arial"/>
                <w:sz w:val="22"/>
                <w:szCs w:val="22"/>
              </w:rPr>
            </w:pPr>
            <w:r w:rsidRPr="00F31DDE">
              <w:rPr>
                <w:rFonts w:cs="Arial"/>
                <w:sz w:val="22"/>
                <w:szCs w:val="22"/>
              </w:rPr>
              <w:t>accept responsibility for the interactions with the OfS and its designated bodies</w:t>
            </w:r>
            <w:r w:rsidR="00FF67D8">
              <w:rPr>
                <w:rFonts w:cs="Arial"/>
                <w:sz w:val="22"/>
                <w:szCs w:val="22"/>
              </w:rPr>
              <w:t>.</w:t>
            </w:r>
          </w:p>
          <w:p w14:paraId="2EF139B5" w14:textId="53EADBAF" w:rsidR="009159B9" w:rsidRPr="00F31DDE" w:rsidRDefault="009159B9" w:rsidP="002336C1">
            <w:pPr>
              <w:pStyle w:val="ListParagraph"/>
              <w:widowControl/>
              <w:numPr>
                <w:ilvl w:val="0"/>
                <w:numId w:val="4"/>
              </w:numPr>
              <w:spacing w:before="0" w:after="0" w:line="240" w:lineRule="auto"/>
              <w:ind w:left="589" w:hanging="567"/>
              <w:contextualSpacing/>
              <w:rPr>
                <w:rFonts w:cs="Arial"/>
                <w:sz w:val="22"/>
                <w:szCs w:val="22"/>
              </w:rPr>
            </w:pPr>
            <w:r w:rsidRPr="00F31DDE">
              <w:rPr>
                <w:rFonts w:cs="Arial"/>
                <w:sz w:val="22"/>
                <w:szCs w:val="22"/>
              </w:rPr>
              <w:lastRenderedPageBreak/>
              <w:t xml:space="preserve">ensure compliance with all of the conditions of registration and with the </w:t>
            </w:r>
            <w:proofErr w:type="spellStart"/>
            <w:r w:rsidRPr="00F31DDE">
              <w:rPr>
                <w:rFonts w:cs="Arial"/>
                <w:sz w:val="22"/>
                <w:szCs w:val="22"/>
              </w:rPr>
              <w:t>OfS’s</w:t>
            </w:r>
            <w:proofErr w:type="spellEnd"/>
            <w:r w:rsidRPr="00F31DDE">
              <w:rPr>
                <w:rFonts w:cs="Arial"/>
                <w:sz w:val="22"/>
                <w:szCs w:val="22"/>
              </w:rPr>
              <w:t xml:space="preserve"> accounts direction</w:t>
            </w:r>
            <w:r w:rsidR="00FF67D8">
              <w:rPr>
                <w:rFonts w:cs="Arial"/>
                <w:sz w:val="22"/>
                <w:szCs w:val="22"/>
              </w:rPr>
              <w:t>.</w:t>
            </w:r>
          </w:p>
          <w:p w14:paraId="773F902B" w14:textId="77777777" w:rsidR="009159B9" w:rsidRPr="00F31DDE" w:rsidRDefault="009159B9" w:rsidP="002336C1">
            <w:pPr>
              <w:pStyle w:val="ListParagraph"/>
              <w:widowControl/>
              <w:numPr>
                <w:ilvl w:val="0"/>
                <w:numId w:val="4"/>
              </w:numPr>
              <w:spacing w:before="0" w:after="0" w:line="240" w:lineRule="auto"/>
              <w:ind w:left="589" w:hanging="567"/>
              <w:contextualSpacing/>
              <w:rPr>
                <w:rFonts w:cs="Arial"/>
                <w:sz w:val="22"/>
                <w:szCs w:val="22"/>
              </w:rPr>
            </w:pPr>
            <w:r w:rsidRPr="00F31DDE">
              <w:rPr>
                <w:rFonts w:cs="Arial"/>
                <w:sz w:val="22"/>
                <w:szCs w:val="22"/>
              </w:rPr>
              <w:t>nominate to the OfS a senior officer as the ‘accountable officer’.</w:t>
            </w:r>
          </w:p>
        </w:tc>
      </w:tr>
      <w:tr w:rsidR="009159B9" w:rsidRPr="00F31DDE" w14:paraId="1218F5C6" w14:textId="77777777" w:rsidTr="009159B9">
        <w:tc>
          <w:tcPr>
            <w:tcW w:w="9498" w:type="dxa"/>
          </w:tcPr>
          <w:p w14:paraId="78AA1BB5" w14:textId="77777777"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lastRenderedPageBreak/>
              <w:t>Condition E4: The governing body must notify the OfS of any changes which affects the accuracy of information contained in the Register</w:t>
            </w:r>
          </w:p>
        </w:tc>
      </w:tr>
      <w:tr w:rsidR="009159B9" w:rsidRPr="00F31DDE" w14:paraId="0C8B03BF" w14:textId="77777777" w:rsidTr="009159B9">
        <w:tc>
          <w:tcPr>
            <w:tcW w:w="9498" w:type="dxa"/>
          </w:tcPr>
          <w:p w14:paraId="629956E3" w14:textId="6E47870C" w:rsidR="0095136D" w:rsidRPr="00F31DDE" w:rsidRDefault="009159B9" w:rsidP="005E2DE8">
            <w:pPr>
              <w:autoSpaceDE w:val="0"/>
              <w:autoSpaceDN w:val="0"/>
              <w:adjustRightInd w:val="0"/>
              <w:spacing w:before="0" w:after="0" w:line="240" w:lineRule="auto"/>
              <w:rPr>
                <w:rFonts w:cs="Arial"/>
                <w:sz w:val="22"/>
                <w:szCs w:val="22"/>
              </w:rPr>
            </w:pPr>
            <w:r w:rsidRPr="00F31DDE">
              <w:rPr>
                <w:rFonts w:cs="Arial"/>
                <w:sz w:val="22"/>
                <w:szCs w:val="22"/>
              </w:rPr>
              <w:t>Condition E5: The University must comply with guidance published by the OfS to facilitate the electoral registration of students.</w:t>
            </w:r>
          </w:p>
        </w:tc>
      </w:tr>
      <w:tr w:rsidR="009159B9" w:rsidRPr="00F31DDE" w14:paraId="51DE9EC9" w14:textId="77777777" w:rsidTr="009159B9">
        <w:tc>
          <w:tcPr>
            <w:tcW w:w="9498" w:type="dxa"/>
            <w:shd w:val="clear" w:color="auto" w:fill="auto"/>
          </w:tcPr>
          <w:p w14:paraId="4008DC33" w14:textId="77777777" w:rsidR="005E2DE8" w:rsidRDefault="005E2DE8" w:rsidP="00566509">
            <w:pPr>
              <w:spacing w:before="0" w:after="0" w:line="240" w:lineRule="auto"/>
              <w:rPr>
                <w:rFonts w:cs="Arial"/>
                <w:b/>
                <w:sz w:val="22"/>
                <w:szCs w:val="22"/>
              </w:rPr>
            </w:pPr>
          </w:p>
          <w:p w14:paraId="200E2FD0" w14:textId="4914DA55" w:rsidR="0095136D" w:rsidRPr="00F31DDE" w:rsidRDefault="009159B9" w:rsidP="00566509">
            <w:pPr>
              <w:spacing w:before="0" w:after="0" w:line="240" w:lineRule="auto"/>
              <w:rPr>
                <w:rFonts w:cs="Arial"/>
                <w:sz w:val="22"/>
                <w:szCs w:val="22"/>
              </w:rPr>
            </w:pPr>
            <w:r w:rsidRPr="00F31DDE">
              <w:rPr>
                <w:rFonts w:cs="Arial"/>
                <w:b/>
                <w:sz w:val="22"/>
                <w:szCs w:val="22"/>
              </w:rPr>
              <w:t>F: Information for students</w:t>
            </w:r>
          </w:p>
        </w:tc>
      </w:tr>
      <w:tr w:rsidR="009159B9" w:rsidRPr="00F31DDE" w14:paraId="722BE316" w14:textId="77777777" w:rsidTr="009159B9">
        <w:tc>
          <w:tcPr>
            <w:tcW w:w="9498" w:type="dxa"/>
            <w:shd w:val="clear" w:color="auto" w:fill="auto"/>
          </w:tcPr>
          <w:p w14:paraId="647E64B3" w14:textId="14D96D19"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F1: Provide to the OfS and publish as specified by the OfS transparency information as set out in section 9 of HERA.</w:t>
            </w:r>
          </w:p>
        </w:tc>
      </w:tr>
      <w:tr w:rsidR="009159B9" w:rsidRPr="00F31DDE" w14:paraId="6991932D" w14:textId="77777777" w:rsidTr="009159B9">
        <w:tc>
          <w:tcPr>
            <w:tcW w:w="9498" w:type="dxa"/>
          </w:tcPr>
          <w:p w14:paraId="18B3B962" w14:textId="5075ED61"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F2: Provide to the OfS and publish information about arrangements for students to transfer.</w:t>
            </w:r>
          </w:p>
        </w:tc>
      </w:tr>
      <w:tr w:rsidR="009159B9" w:rsidRPr="00F31DDE" w14:paraId="5971C4F9" w14:textId="77777777" w:rsidTr="009159B9">
        <w:tc>
          <w:tcPr>
            <w:tcW w:w="9498" w:type="dxa"/>
          </w:tcPr>
          <w:p w14:paraId="10C8258E" w14:textId="77777777"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F3: Assist the OfS in performing its functions by:</w:t>
            </w:r>
          </w:p>
          <w:p w14:paraId="695563E4" w14:textId="726080BA" w:rsidR="009159B9" w:rsidRPr="00F31DDE" w:rsidRDefault="009159B9" w:rsidP="002336C1">
            <w:pPr>
              <w:pStyle w:val="ListParagraph"/>
              <w:widowControl/>
              <w:numPr>
                <w:ilvl w:val="0"/>
                <w:numId w:val="6"/>
              </w:numPr>
              <w:spacing w:before="0" w:after="0" w:line="240" w:lineRule="auto"/>
              <w:ind w:left="589" w:hanging="589"/>
              <w:contextualSpacing/>
              <w:rPr>
                <w:rFonts w:cs="Arial"/>
                <w:sz w:val="22"/>
                <w:szCs w:val="22"/>
              </w:rPr>
            </w:pPr>
            <w:r w:rsidRPr="00F31DDE">
              <w:rPr>
                <w:rFonts w:cs="Arial"/>
                <w:sz w:val="22"/>
                <w:szCs w:val="22"/>
              </w:rPr>
              <w:t>Providing information as, when and how specified</w:t>
            </w:r>
            <w:r w:rsidR="00FF67D8">
              <w:rPr>
                <w:rFonts w:cs="Arial"/>
                <w:sz w:val="22"/>
                <w:szCs w:val="22"/>
              </w:rPr>
              <w:t>.</w:t>
            </w:r>
          </w:p>
          <w:p w14:paraId="0BE62196" w14:textId="15598C94" w:rsidR="009159B9" w:rsidRPr="00F31DDE" w:rsidRDefault="009159B9" w:rsidP="002336C1">
            <w:pPr>
              <w:pStyle w:val="ListParagraph"/>
              <w:widowControl/>
              <w:numPr>
                <w:ilvl w:val="0"/>
                <w:numId w:val="6"/>
              </w:numPr>
              <w:spacing w:before="0" w:after="0" w:line="240" w:lineRule="auto"/>
              <w:ind w:left="589" w:hanging="567"/>
              <w:contextualSpacing/>
              <w:rPr>
                <w:rFonts w:cs="Arial"/>
                <w:sz w:val="22"/>
                <w:szCs w:val="22"/>
              </w:rPr>
            </w:pPr>
            <w:r w:rsidRPr="00F31DDE">
              <w:rPr>
                <w:rFonts w:cs="Arial"/>
                <w:sz w:val="22"/>
                <w:szCs w:val="22"/>
              </w:rPr>
              <w:t>Permit the OfS to verify information provided to the OfS</w:t>
            </w:r>
            <w:r w:rsidR="00FF67D8">
              <w:rPr>
                <w:rFonts w:cs="Arial"/>
                <w:sz w:val="22"/>
                <w:szCs w:val="22"/>
              </w:rPr>
              <w:t>.</w:t>
            </w:r>
          </w:p>
          <w:p w14:paraId="16A31F5B" w14:textId="77777777" w:rsidR="009159B9" w:rsidRPr="00F31DDE" w:rsidRDefault="009159B9" w:rsidP="002336C1">
            <w:pPr>
              <w:pStyle w:val="ListParagraph"/>
              <w:widowControl/>
              <w:numPr>
                <w:ilvl w:val="0"/>
                <w:numId w:val="6"/>
              </w:numPr>
              <w:spacing w:before="0" w:after="0" w:line="240" w:lineRule="auto"/>
              <w:ind w:left="589" w:hanging="567"/>
              <w:contextualSpacing/>
              <w:rPr>
                <w:rFonts w:cs="Arial"/>
                <w:sz w:val="22"/>
                <w:szCs w:val="22"/>
              </w:rPr>
            </w:pPr>
            <w:r w:rsidRPr="00F31DDE">
              <w:rPr>
                <w:rFonts w:cs="Arial"/>
                <w:sz w:val="22"/>
                <w:szCs w:val="22"/>
              </w:rPr>
              <w:t>Co-operate with any monitoring or investigation by the OfS.</w:t>
            </w:r>
          </w:p>
        </w:tc>
      </w:tr>
      <w:tr w:rsidR="009159B9" w:rsidRPr="00F31DDE" w14:paraId="0E6D95DE" w14:textId="77777777" w:rsidTr="009159B9">
        <w:tc>
          <w:tcPr>
            <w:tcW w:w="9498" w:type="dxa"/>
          </w:tcPr>
          <w:p w14:paraId="7C9E5A19" w14:textId="5C525BE9" w:rsidR="007A3CA0" w:rsidRPr="00F31DDE" w:rsidRDefault="009159B9" w:rsidP="005E2DE8">
            <w:pPr>
              <w:autoSpaceDE w:val="0"/>
              <w:autoSpaceDN w:val="0"/>
              <w:adjustRightInd w:val="0"/>
              <w:spacing w:before="0" w:after="0" w:line="240" w:lineRule="auto"/>
              <w:rPr>
                <w:rFonts w:cs="Arial"/>
                <w:sz w:val="22"/>
                <w:szCs w:val="22"/>
              </w:rPr>
            </w:pPr>
            <w:r w:rsidRPr="00F31DDE">
              <w:rPr>
                <w:rFonts w:cs="Arial"/>
                <w:sz w:val="22"/>
                <w:szCs w:val="22"/>
              </w:rPr>
              <w:t>Condition F4: Provide the Designated Data body (DDB) with such information as the DDB specifies.</w:t>
            </w:r>
          </w:p>
        </w:tc>
      </w:tr>
      <w:tr w:rsidR="009159B9" w:rsidRPr="00F31DDE" w14:paraId="321BA3C2" w14:textId="77777777" w:rsidTr="009159B9">
        <w:tc>
          <w:tcPr>
            <w:tcW w:w="9498" w:type="dxa"/>
            <w:shd w:val="clear" w:color="auto" w:fill="auto"/>
          </w:tcPr>
          <w:p w14:paraId="45D0DB06" w14:textId="77777777" w:rsidR="005E2DE8" w:rsidRDefault="005E2DE8" w:rsidP="00566509">
            <w:pPr>
              <w:spacing w:before="0" w:after="0" w:line="240" w:lineRule="auto"/>
              <w:rPr>
                <w:rFonts w:cs="Arial"/>
                <w:b/>
                <w:sz w:val="22"/>
                <w:szCs w:val="22"/>
              </w:rPr>
            </w:pPr>
          </w:p>
          <w:p w14:paraId="104BA588" w14:textId="5E9CF0DB" w:rsidR="007A3CA0" w:rsidRPr="00F31DDE" w:rsidRDefault="009159B9" w:rsidP="00566509">
            <w:pPr>
              <w:spacing w:before="0" w:after="0" w:line="240" w:lineRule="auto"/>
              <w:rPr>
                <w:rFonts w:cs="Arial"/>
                <w:sz w:val="22"/>
                <w:szCs w:val="22"/>
              </w:rPr>
            </w:pPr>
            <w:r w:rsidRPr="00F31DDE">
              <w:rPr>
                <w:rFonts w:cs="Arial"/>
                <w:b/>
                <w:sz w:val="22"/>
                <w:szCs w:val="22"/>
              </w:rPr>
              <w:t>G: Accountability for fees and funding</w:t>
            </w:r>
          </w:p>
        </w:tc>
      </w:tr>
      <w:tr w:rsidR="009159B9" w:rsidRPr="00F31DDE" w14:paraId="2D912798" w14:textId="77777777" w:rsidTr="009159B9">
        <w:tc>
          <w:tcPr>
            <w:tcW w:w="9498" w:type="dxa"/>
          </w:tcPr>
          <w:p w14:paraId="69660FC2" w14:textId="77777777"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G1: Must charge fees that do not exceed the relevant fee limit determined by the provider’s quality rating and its access and participation plan.</w:t>
            </w:r>
          </w:p>
        </w:tc>
      </w:tr>
      <w:tr w:rsidR="009159B9" w:rsidRPr="00F31DDE" w14:paraId="0D7F760E" w14:textId="77777777" w:rsidTr="009159B9">
        <w:tc>
          <w:tcPr>
            <w:tcW w:w="9498" w:type="dxa"/>
          </w:tcPr>
          <w:p w14:paraId="34A8CC49" w14:textId="77777777"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G2: Comply with any terms and conditions attached to financial support received from the OfS and UKRI.</w:t>
            </w:r>
          </w:p>
        </w:tc>
      </w:tr>
      <w:tr w:rsidR="009159B9" w:rsidRPr="00F31DDE" w14:paraId="094B3279" w14:textId="77777777" w:rsidTr="009159B9">
        <w:tc>
          <w:tcPr>
            <w:tcW w:w="9498" w:type="dxa"/>
          </w:tcPr>
          <w:p w14:paraId="6DE0AB9C" w14:textId="77777777" w:rsidR="009159B9" w:rsidRPr="00F31DDE" w:rsidRDefault="009159B9" w:rsidP="002336C1">
            <w:pPr>
              <w:autoSpaceDE w:val="0"/>
              <w:autoSpaceDN w:val="0"/>
              <w:adjustRightInd w:val="0"/>
              <w:spacing w:before="0" w:after="0" w:line="240" w:lineRule="auto"/>
              <w:rPr>
                <w:rFonts w:cs="Arial"/>
                <w:sz w:val="22"/>
                <w:szCs w:val="22"/>
              </w:rPr>
            </w:pPr>
            <w:r w:rsidRPr="00F31DDE">
              <w:rPr>
                <w:rFonts w:cs="Arial"/>
                <w:sz w:val="22"/>
                <w:szCs w:val="22"/>
              </w:rPr>
              <w:t>Condition G3: Must pay:</w:t>
            </w:r>
          </w:p>
          <w:p w14:paraId="5F24662C" w14:textId="77777777" w:rsidR="009159B9" w:rsidRPr="00F31DDE" w:rsidRDefault="009159B9" w:rsidP="002336C1">
            <w:pPr>
              <w:pStyle w:val="ListParagraph"/>
              <w:widowControl/>
              <w:numPr>
                <w:ilvl w:val="0"/>
                <w:numId w:val="5"/>
              </w:numPr>
              <w:spacing w:before="0" w:after="0" w:line="240" w:lineRule="auto"/>
              <w:ind w:left="589" w:hanging="567"/>
              <w:contextualSpacing/>
              <w:rPr>
                <w:rFonts w:cs="Arial"/>
                <w:sz w:val="22"/>
                <w:szCs w:val="22"/>
              </w:rPr>
            </w:pPr>
            <w:r w:rsidRPr="00F31DDE">
              <w:rPr>
                <w:rFonts w:cs="Arial"/>
                <w:sz w:val="22"/>
                <w:szCs w:val="22"/>
              </w:rPr>
              <w:t>Annual registration fee and other OfS fees.</w:t>
            </w:r>
          </w:p>
          <w:p w14:paraId="12709269" w14:textId="664B6D1D" w:rsidR="009159B9" w:rsidRPr="00F31DDE" w:rsidRDefault="009159B9" w:rsidP="002336C1">
            <w:pPr>
              <w:pStyle w:val="ListParagraph"/>
              <w:widowControl/>
              <w:numPr>
                <w:ilvl w:val="0"/>
                <w:numId w:val="5"/>
              </w:numPr>
              <w:spacing w:before="0" w:after="0" w:line="240" w:lineRule="auto"/>
              <w:ind w:left="589" w:hanging="567"/>
              <w:contextualSpacing/>
              <w:rPr>
                <w:rFonts w:cs="Arial"/>
                <w:sz w:val="22"/>
                <w:szCs w:val="22"/>
              </w:rPr>
            </w:pPr>
            <w:r w:rsidRPr="00F31DDE">
              <w:rPr>
                <w:rFonts w:cs="Arial"/>
                <w:sz w:val="22"/>
                <w:szCs w:val="22"/>
              </w:rPr>
              <w:t>Fees charged by the designated bodies.</w:t>
            </w:r>
          </w:p>
        </w:tc>
      </w:tr>
    </w:tbl>
    <w:p w14:paraId="0064CAB9" w14:textId="77777777" w:rsidR="00BF22A0" w:rsidRDefault="00BF22A0" w:rsidP="002336C1">
      <w:pPr>
        <w:pStyle w:val="Heading2"/>
        <w:rPr>
          <w:lang w:val="en-GB"/>
        </w:rPr>
      </w:pPr>
    </w:p>
    <w:p w14:paraId="097ACC5D" w14:textId="72F03B78" w:rsidR="00134CF5" w:rsidRPr="00AB088E" w:rsidRDefault="00134CF5" w:rsidP="00FF67D8">
      <w:pPr>
        <w:pStyle w:val="Heading2"/>
        <w:ind w:hanging="567"/>
        <w:rPr>
          <w:lang w:val="en-GB"/>
        </w:rPr>
      </w:pPr>
      <w:bookmarkStart w:id="4" w:name="_Toc172013880"/>
      <w:r w:rsidRPr="00307F03">
        <w:rPr>
          <w:lang w:val="en-GB"/>
        </w:rPr>
        <w:t xml:space="preserve">The </w:t>
      </w:r>
      <w:r w:rsidR="00140701">
        <w:rPr>
          <w:lang w:val="en-GB"/>
        </w:rPr>
        <w:t>Designated Quality Body</w:t>
      </w:r>
      <w:bookmarkEnd w:id="4"/>
    </w:p>
    <w:p w14:paraId="36E234AB" w14:textId="7A2582B1" w:rsidR="00F351DD" w:rsidRPr="00AB088E" w:rsidRDefault="000917E4" w:rsidP="00FF67D8">
      <w:pPr>
        <w:pStyle w:val="ListParagraph"/>
        <w:numPr>
          <w:ilvl w:val="0"/>
          <w:numId w:val="14"/>
        </w:numPr>
        <w:spacing w:before="0" w:after="0" w:line="240" w:lineRule="auto"/>
        <w:ind w:left="-142" w:hanging="425"/>
      </w:pPr>
      <w:r w:rsidRPr="00F90518">
        <w:t xml:space="preserve">The Quality Assurance Agency </w:t>
      </w:r>
      <w:r w:rsidR="00843358">
        <w:t>is an independent</w:t>
      </w:r>
      <w:r w:rsidR="00094EE4">
        <w:t xml:space="preserve"> charity working to benefit students and higher education</w:t>
      </w:r>
      <w:r w:rsidR="00115FDD" w:rsidRPr="00F90518">
        <w:t>.</w:t>
      </w:r>
      <w:r w:rsidR="00094EE4">
        <w:t xml:space="preserve"> </w:t>
      </w:r>
      <w:r w:rsidR="00092FBA">
        <w:t>The QAA was</w:t>
      </w:r>
      <w:r w:rsidR="00C118FD">
        <w:t xml:space="preserve"> previously</w:t>
      </w:r>
      <w:r w:rsidR="00092FBA">
        <w:t xml:space="preserve"> the Designated Quality Body</w:t>
      </w:r>
      <w:r w:rsidR="00AD512B">
        <w:t xml:space="preserve"> in England (DQB) but announced in July 2022 that it would no longer consent to undertaking this role after 31 March 2023. </w:t>
      </w:r>
      <w:r w:rsidR="002E1D83">
        <w:t xml:space="preserve">From 1 April 2023 the OfS </w:t>
      </w:r>
      <w:r w:rsidR="00EE64E3">
        <w:t xml:space="preserve">took on the </w:t>
      </w:r>
      <w:r w:rsidR="000B222D">
        <w:t>quality and standards assessments previously carried out by the DQB</w:t>
      </w:r>
      <w:r w:rsidR="00F33C90">
        <w:t>.</w:t>
      </w:r>
    </w:p>
    <w:p w14:paraId="6584F3DE" w14:textId="77777777" w:rsidR="00BF22A0" w:rsidRDefault="00BF22A0" w:rsidP="00580996">
      <w:pPr>
        <w:pStyle w:val="Heading3"/>
      </w:pPr>
    </w:p>
    <w:p w14:paraId="0EA56022" w14:textId="35C1C3E5" w:rsidR="00DF7797" w:rsidRPr="00AB088E" w:rsidRDefault="00DF7797" w:rsidP="00580996">
      <w:pPr>
        <w:pStyle w:val="Heading3"/>
      </w:pPr>
      <w:bookmarkStart w:id="5" w:name="_Toc172013881"/>
      <w:r w:rsidRPr="0059721B">
        <w:t>The UK Quality Code</w:t>
      </w:r>
      <w:bookmarkEnd w:id="5"/>
      <w:r w:rsidRPr="0059721B">
        <w:t xml:space="preserve"> </w:t>
      </w:r>
    </w:p>
    <w:p w14:paraId="01E6C6FE" w14:textId="4747EC51" w:rsidR="00BF22A0" w:rsidRPr="007F0C04" w:rsidRDefault="00117461" w:rsidP="00E80C0C">
      <w:pPr>
        <w:pStyle w:val="ListParagraph"/>
        <w:numPr>
          <w:ilvl w:val="0"/>
          <w:numId w:val="14"/>
        </w:numPr>
        <w:spacing w:before="0" w:after="0" w:line="240" w:lineRule="auto"/>
        <w:ind w:left="-142" w:hanging="425"/>
        <w:rPr>
          <w:color w:val="000000" w:themeColor="text1"/>
          <w:lang w:val="en-GB"/>
        </w:rPr>
      </w:pPr>
      <w:r w:rsidRPr="00417D36">
        <w:rPr>
          <w:lang w:val="en"/>
        </w:rPr>
        <w:t xml:space="preserve">The UK Quality Code is a reference point for UK higher education, protecting the public and student interest, and championing UK higher education's world-leading reputation for quality. It enables providers to understand what is expected of them and what to expect from each other. </w:t>
      </w:r>
    </w:p>
    <w:p w14:paraId="30B0812A" w14:textId="77777777" w:rsidR="007F0C04" w:rsidRPr="00417D36" w:rsidRDefault="007F0C04" w:rsidP="007F0C04">
      <w:pPr>
        <w:pStyle w:val="ListParagraph"/>
        <w:spacing w:before="0" w:after="0" w:line="240" w:lineRule="auto"/>
        <w:ind w:left="-142"/>
        <w:rPr>
          <w:color w:val="000000" w:themeColor="text1"/>
          <w:lang w:val="en-GB"/>
        </w:rPr>
      </w:pPr>
    </w:p>
    <w:p w14:paraId="78FD9682" w14:textId="11BEAE90" w:rsidR="0031462B" w:rsidRDefault="008D19AB" w:rsidP="00FF67D8">
      <w:pPr>
        <w:pStyle w:val="ListParagraph"/>
        <w:numPr>
          <w:ilvl w:val="0"/>
          <w:numId w:val="14"/>
        </w:numPr>
        <w:spacing w:before="0" w:after="0" w:line="240" w:lineRule="auto"/>
        <w:ind w:left="-142" w:hanging="425"/>
        <w:rPr>
          <w:color w:val="000000" w:themeColor="text1"/>
          <w:lang w:val="en-GB"/>
        </w:rPr>
      </w:pPr>
      <w:r>
        <w:rPr>
          <w:color w:val="000000" w:themeColor="text1"/>
          <w:lang w:val="en-GB"/>
        </w:rPr>
        <w:t>While the Quality Code does not represent regulatory requirements for institutions based in England</w:t>
      </w:r>
      <w:r w:rsidR="00725FD5">
        <w:rPr>
          <w:color w:val="000000" w:themeColor="text1"/>
          <w:lang w:val="en-GB"/>
        </w:rPr>
        <w:t>, those providers can choose to use the Quality Code to satisfy themselves that their quality processes support enhancement above the baseline.</w:t>
      </w:r>
    </w:p>
    <w:p w14:paraId="06BD323E" w14:textId="77777777" w:rsidR="007D424B" w:rsidRDefault="007D424B" w:rsidP="00106219">
      <w:pPr>
        <w:pStyle w:val="ListParagraph"/>
        <w:spacing w:before="0" w:after="0" w:line="240" w:lineRule="auto"/>
        <w:rPr>
          <w:color w:val="000000" w:themeColor="text1"/>
          <w:lang w:val="en-GB"/>
        </w:rPr>
      </w:pPr>
    </w:p>
    <w:p w14:paraId="3F82FF3D" w14:textId="77777777" w:rsidR="007B60EE" w:rsidRDefault="0051059C" w:rsidP="00FF67D8">
      <w:pPr>
        <w:pStyle w:val="ListParagraph"/>
        <w:numPr>
          <w:ilvl w:val="0"/>
          <w:numId w:val="14"/>
        </w:numPr>
        <w:spacing w:before="0" w:after="0" w:line="240" w:lineRule="auto"/>
        <w:ind w:left="-142" w:hanging="425"/>
        <w:rPr>
          <w:color w:val="000000" w:themeColor="text1"/>
          <w:lang w:val="en-GB"/>
        </w:rPr>
      </w:pPr>
      <w:r>
        <w:rPr>
          <w:color w:val="000000" w:themeColor="text1"/>
          <w:lang w:val="en-GB"/>
        </w:rPr>
        <w:t>A new edition of the Quality Code was launched in June 2024. The Quality Code needed to be redeveloped</w:t>
      </w:r>
      <w:r w:rsidR="00D7444E">
        <w:rPr>
          <w:color w:val="000000" w:themeColor="text1"/>
          <w:lang w:val="en-GB"/>
        </w:rPr>
        <w:t xml:space="preserve"> because of changes to the regulatory structures of higher education across the UK and the introduction of explicit tertiary approaches in Wales and Scotland. </w:t>
      </w:r>
    </w:p>
    <w:p w14:paraId="4A870A3B" w14:textId="77777777" w:rsidR="007B60EE" w:rsidRDefault="007B60EE" w:rsidP="007B60EE">
      <w:pPr>
        <w:pStyle w:val="ListParagraph"/>
        <w:spacing w:before="0" w:after="0" w:line="240" w:lineRule="auto"/>
        <w:ind w:left="-142"/>
        <w:rPr>
          <w:color w:val="000000" w:themeColor="text1"/>
          <w:lang w:val="en-GB"/>
        </w:rPr>
      </w:pPr>
    </w:p>
    <w:p w14:paraId="5DC187C8" w14:textId="5EA8AEB4" w:rsidR="00117461" w:rsidRPr="000466E5" w:rsidRDefault="00117461" w:rsidP="00FF67D8">
      <w:pPr>
        <w:pStyle w:val="ListParagraph"/>
        <w:numPr>
          <w:ilvl w:val="0"/>
          <w:numId w:val="14"/>
        </w:numPr>
        <w:spacing w:before="0" w:after="0" w:line="240" w:lineRule="auto"/>
        <w:ind w:left="-142" w:hanging="425"/>
        <w:rPr>
          <w:color w:val="000000" w:themeColor="text1"/>
          <w:lang w:val="en-GB"/>
        </w:rPr>
      </w:pPr>
      <w:r w:rsidRPr="000466E5">
        <w:rPr>
          <w:color w:val="000000" w:themeColor="text1"/>
          <w:lang w:val="en-GB"/>
        </w:rPr>
        <w:t>The full Quality Code can be found at</w:t>
      </w:r>
      <w:r w:rsidR="00185417" w:rsidRPr="000466E5">
        <w:rPr>
          <w:color w:val="000000" w:themeColor="text1"/>
          <w:lang w:val="en-GB"/>
        </w:rPr>
        <w:t xml:space="preserve"> the</w:t>
      </w:r>
      <w:r w:rsidRPr="000466E5">
        <w:rPr>
          <w:color w:val="000000" w:themeColor="text1"/>
          <w:lang w:val="en-GB"/>
        </w:rPr>
        <w:t xml:space="preserve"> </w:t>
      </w:r>
      <w:hyperlink r:id="rId14" w:history="1">
        <w:r w:rsidR="00185417" w:rsidRPr="00646ED1">
          <w:rPr>
            <w:rStyle w:val="Hyperlink"/>
            <w:rFonts w:cs="Arial"/>
            <w:color w:val="000000" w:themeColor="text1"/>
            <w:szCs w:val="24"/>
            <w:lang w:val="en-GB"/>
          </w:rPr>
          <w:t>QAA website</w:t>
        </w:r>
      </w:hyperlink>
    </w:p>
    <w:p w14:paraId="1F39556D" w14:textId="77777777" w:rsidR="00BF22A0" w:rsidRDefault="00BF22A0" w:rsidP="00BF22A0">
      <w:pPr>
        <w:pStyle w:val="ListParagraph"/>
        <w:spacing w:before="0" w:after="0" w:line="240" w:lineRule="auto"/>
        <w:rPr>
          <w:color w:val="000000" w:themeColor="text1"/>
          <w:lang w:val="en"/>
        </w:rPr>
      </w:pPr>
    </w:p>
    <w:p w14:paraId="5DE52292" w14:textId="294CB496" w:rsidR="00DE214D" w:rsidRDefault="00117461" w:rsidP="6862083E">
      <w:pPr>
        <w:pStyle w:val="ListParagraph"/>
        <w:numPr>
          <w:ilvl w:val="0"/>
          <w:numId w:val="14"/>
        </w:numPr>
        <w:spacing w:before="0" w:after="0" w:line="240" w:lineRule="auto"/>
        <w:ind w:left="-142" w:hanging="425"/>
        <w:rPr>
          <w:color w:val="000000" w:themeColor="text1"/>
        </w:rPr>
      </w:pPr>
      <w:r w:rsidRPr="6862083E">
        <w:rPr>
          <w:color w:val="000000" w:themeColor="text1"/>
        </w:rPr>
        <w:t xml:space="preserve">The </w:t>
      </w:r>
      <w:r w:rsidR="0043486E" w:rsidRPr="6862083E">
        <w:rPr>
          <w:color w:val="000000" w:themeColor="text1"/>
        </w:rPr>
        <w:t xml:space="preserve">2024 edition of the </w:t>
      </w:r>
      <w:r w:rsidRPr="6862083E">
        <w:rPr>
          <w:color w:val="000000" w:themeColor="text1"/>
        </w:rPr>
        <w:t xml:space="preserve">Quality Code </w:t>
      </w:r>
      <w:r w:rsidR="00DE214D" w:rsidRPr="6862083E">
        <w:rPr>
          <w:color w:val="000000" w:themeColor="text1"/>
        </w:rPr>
        <w:t>co</w:t>
      </w:r>
      <w:r w:rsidR="0043486E" w:rsidRPr="6862083E">
        <w:rPr>
          <w:color w:val="000000" w:themeColor="text1"/>
        </w:rPr>
        <w:t>mprises two elements – Sector-Agreed Principles and Key Practices. It is supported by a suite of Advice and Guidance.</w:t>
      </w:r>
      <w:r w:rsidR="00320AA7" w:rsidRPr="6862083E">
        <w:rPr>
          <w:color w:val="000000" w:themeColor="text1"/>
        </w:rPr>
        <w:t xml:space="preserve"> The Principles identify the fundamental nature of quality and standards in UK higher education. There are 12 Principles and each has a set of </w:t>
      </w:r>
      <w:r w:rsidR="00936D7D" w:rsidRPr="6862083E">
        <w:rPr>
          <w:color w:val="000000" w:themeColor="text1"/>
        </w:rPr>
        <w:t>Key Practices which providers can follow to demonstrate how they are adhering to that Principle.</w:t>
      </w:r>
    </w:p>
    <w:p w14:paraId="66354C97" w14:textId="77777777" w:rsidR="008F36A1" w:rsidRDefault="008F36A1" w:rsidP="008F36A1">
      <w:pPr>
        <w:pStyle w:val="ListParagraph"/>
        <w:spacing w:before="0" w:after="0" w:line="240" w:lineRule="auto"/>
        <w:ind w:left="-142"/>
        <w:rPr>
          <w:color w:val="000000" w:themeColor="text1"/>
          <w:lang w:val="en"/>
        </w:rPr>
      </w:pPr>
    </w:p>
    <w:p w14:paraId="0ACFFCBE" w14:textId="4BA724A3" w:rsidR="00936D7D" w:rsidRPr="008F36A1" w:rsidRDefault="00936D7D" w:rsidP="6862083E">
      <w:pPr>
        <w:pStyle w:val="ListParagraph"/>
        <w:numPr>
          <w:ilvl w:val="0"/>
          <w:numId w:val="14"/>
        </w:numPr>
        <w:spacing w:before="0" w:after="0" w:line="240" w:lineRule="auto"/>
        <w:ind w:left="-142" w:hanging="425"/>
        <w:rPr>
          <w:color w:val="000000" w:themeColor="text1"/>
        </w:rPr>
      </w:pPr>
      <w:r w:rsidRPr="6862083E">
        <w:rPr>
          <w:color w:val="000000" w:themeColor="text1"/>
        </w:rPr>
        <w:t xml:space="preserve">The </w:t>
      </w:r>
      <w:r w:rsidR="008F36A1" w:rsidRPr="6862083E">
        <w:rPr>
          <w:color w:val="000000" w:themeColor="text1"/>
        </w:rPr>
        <w:t>Principles are as follows:</w:t>
      </w:r>
    </w:p>
    <w:p w14:paraId="29E51754" w14:textId="77777777" w:rsidR="00DC3098" w:rsidRPr="00DC3098" w:rsidRDefault="00DC3098" w:rsidP="00DC3098">
      <w:pPr>
        <w:spacing w:before="0" w:after="0" w:line="240" w:lineRule="auto"/>
        <w:rPr>
          <w:color w:val="000000" w:themeColor="text1"/>
          <w:lang w:val="en"/>
        </w:rPr>
      </w:pPr>
    </w:p>
    <w:tbl>
      <w:tblPr>
        <w:tblStyle w:val="TableGrid"/>
        <w:tblW w:w="0" w:type="auto"/>
        <w:tblInd w:w="-147" w:type="dxa"/>
        <w:tblLook w:val="04A0" w:firstRow="1" w:lastRow="0" w:firstColumn="1" w:lastColumn="0" w:noHBand="0" w:noVBand="1"/>
      </w:tblPr>
      <w:tblGrid>
        <w:gridCol w:w="3828"/>
        <w:gridCol w:w="5335"/>
      </w:tblGrid>
      <w:tr w:rsidR="00763914" w14:paraId="34C2F671" w14:textId="77777777" w:rsidTr="6862083E">
        <w:tc>
          <w:tcPr>
            <w:tcW w:w="3828" w:type="dxa"/>
          </w:tcPr>
          <w:p w14:paraId="43740FF6" w14:textId="7B6AC7EF" w:rsidR="00763914" w:rsidRPr="00DC3098" w:rsidRDefault="00763914" w:rsidP="00763914">
            <w:pPr>
              <w:pStyle w:val="ListParagraph"/>
              <w:spacing w:before="0" w:after="0" w:line="240" w:lineRule="auto"/>
              <w:ind w:left="0"/>
              <w:rPr>
                <w:b/>
                <w:bCs/>
                <w:color w:val="000000" w:themeColor="text1"/>
                <w:lang w:val="en"/>
              </w:rPr>
            </w:pPr>
            <w:r w:rsidRPr="00DC3098">
              <w:rPr>
                <w:b/>
                <w:bCs/>
                <w:color w:val="000000" w:themeColor="text1"/>
                <w:lang w:val="en"/>
              </w:rPr>
              <w:t>Strategic Approach</w:t>
            </w:r>
          </w:p>
        </w:tc>
        <w:tc>
          <w:tcPr>
            <w:tcW w:w="5335" w:type="dxa"/>
          </w:tcPr>
          <w:p w14:paraId="56953299" w14:textId="77777777" w:rsidR="00763914" w:rsidRDefault="00763914" w:rsidP="00763914">
            <w:pPr>
              <w:pStyle w:val="ListParagraph"/>
              <w:spacing w:before="0" w:after="0" w:line="240" w:lineRule="auto"/>
              <w:ind w:left="0"/>
              <w:rPr>
                <w:color w:val="000000" w:themeColor="text1"/>
                <w:lang w:val="en"/>
              </w:rPr>
            </w:pPr>
          </w:p>
        </w:tc>
      </w:tr>
      <w:tr w:rsidR="00763914" w14:paraId="1395504C" w14:textId="77777777" w:rsidTr="6862083E">
        <w:tc>
          <w:tcPr>
            <w:tcW w:w="3828" w:type="dxa"/>
          </w:tcPr>
          <w:p w14:paraId="3675253E" w14:textId="0DB5F294" w:rsidR="00763914" w:rsidRDefault="002F5437" w:rsidP="00763914">
            <w:pPr>
              <w:pStyle w:val="ListParagraph"/>
              <w:spacing w:before="0" w:after="0" w:line="240" w:lineRule="auto"/>
              <w:ind w:left="0"/>
              <w:rPr>
                <w:color w:val="000000" w:themeColor="text1"/>
                <w:lang w:val="en"/>
              </w:rPr>
            </w:pPr>
            <w:r>
              <w:rPr>
                <w:color w:val="000000" w:themeColor="text1"/>
                <w:lang w:val="en"/>
              </w:rPr>
              <w:t>Principle 1 – taking a strategic approach to managing quality and standards</w:t>
            </w:r>
          </w:p>
        </w:tc>
        <w:tc>
          <w:tcPr>
            <w:tcW w:w="5335" w:type="dxa"/>
          </w:tcPr>
          <w:p w14:paraId="47228D58" w14:textId="368D958E" w:rsidR="00763914" w:rsidRDefault="002F5437" w:rsidP="6862083E">
            <w:pPr>
              <w:pStyle w:val="ListParagraph"/>
              <w:spacing w:before="0" w:after="0" w:line="240" w:lineRule="auto"/>
              <w:ind w:left="0"/>
              <w:rPr>
                <w:color w:val="000000" w:themeColor="text1"/>
              </w:rPr>
            </w:pPr>
            <w:r w:rsidRPr="6862083E">
              <w:rPr>
                <w:color w:val="000000" w:themeColor="text1"/>
              </w:rPr>
              <w:t xml:space="preserve">Providers demonstrate they have a strategic approach to securing academic </w:t>
            </w:r>
            <w:r w:rsidR="00DC3098" w:rsidRPr="6862083E">
              <w:rPr>
                <w:color w:val="000000" w:themeColor="text1"/>
              </w:rPr>
              <w:t xml:space="preserve">standards and assuring and enhancing quality that is embedded across the </w:t>
            </w:r>
            <w:proofErr w:type="spellStart"/>
            <w:r w:rsidR="00DC3098" w:rsidRPr="6862083E">
              <w:rPr>
                <w:color w:val="000000" w:themeColor="text1"/>
              </w:rPr>
              <w:t>organisation</w:t>
            </w:r>
            <w:proofErr w:type="spellEnd"/>
            <w:r w:rsidR="00DC3098" w:rsidRPr="6862083E">
              <w:rPr>
                <w:color w:val="000000" w:themeColor="text1"/>
              </w:rPr>
              <w:t>.</w:t>
            </w:r>
          </w:p>
        </w:tc>
      </w:tr>
      <w:tr w:rsidR="00763914" w14:paraId="6A8EA624" w14:textId="77777777" w:rsidTr="6862083E">
        <w:tc>
          <w:tcPr>
            <w:tcW w:w="3828" w:type="dxa"/>
          </w:tcPr>
          <w:p w14:paraId="62363997" w14:textId="1F7C835B" w:rsidR="00763914" w:rsidRDefault="00DD39B7" w:rsidP="00763914">
            <w:pPr>
              <w:pStyle w:val="ListParagraph"/>
              <w:spacing w:before="0" w:after="0" w:line="240" w:lineRule="auto"/>
              <w:ind w:left="0"/>
              <w:rPr>
                <w:color w:val="000000" w:themeColor="text1"/>
                <w:lang w:val="en"/>
              </w:rPr>
            </w:pPr>
            <w:r>
              <w:rPr>
                <w:color w:val="000000" w:themeColor="text1"/>
                <w:lang w:val="en"/>
              </w:rPr>
              <w:t>Principle 2 – engaging students as partners</w:t>
            </w:r>
          </w:p>
        </w:tc>
        <w:tc>
          <w:tcPr>
            <w:tcW w:w="5335" w:type="dxa"/>
          </w:tcPr>
          <w:p w14:paraId="554C48B8" w14:textId="3618949D" w:rsidR="00763914" w:rsidRDefault="00DD39B7" w:rsidP="6862083E">
            <w:pPr>
              <w:pStyle w:val="ListParagraph"/>
              <w:spacing w:before="0" w:after="0" w:line="240" w:lineRule="auto"/>
              <w:ind w:left="0"/>
              <w:rPr>
                <w:color w:val="000000" w:themeColor="text1"/>
              </w:rPr>
            </w:pPr>
            <w:r w:rsidRPr="6862083E">
              <w:rPr>
                <w:color w:val="000000" w:themeColor="text1"/>
              </w:rPr>
              <w:t>Providers take deliberate steps to engage students as active partners in assuring and enhancing the quality of the student learning experience. Engagement happens individually</w:t>
            </w:r>
            <w:r w:rsidR="00A87193" w:rsidRPr="6862083E">
              <w:rPr>
                <w:color w:val="000000" w:themeColor="text1"/>
              </w:rPr>
              <w:t xml:space="preserve"> and collectively to influence</w:t>
            </w:r>
            <w:r w:rsidR="00D83FC5" w:rsidRPr="6862083E">
              <w:rPr>
                <w:color w:val="000000" w:themeColor="text1"/>
              </w:rPr>
              <w:t xml:space="preserve"> all levels of study and decision making. Enhancements identified through student engagement activities are implemented, where appropriate, and communicated to staff and students.</w:t>
            </w:r>
          </w:p>
        </w:tc>
      </w:tr>
      <w:tr w:rsidR="00DC3098" w14:paraId="5652D8F7" w14:textId="77777777" w:rsidTr="6862083E">
        <w:tc>
          <w:tcPr>
            <w:tcW w:w="3828" w:type="dxa"/>
          </w:tcPr>
          <w:p w14:paraId="0AF341C1" w14:textId="30BC70E7" w:rsidR="00DC3098" w:rsidRDefault="00D83FC5" w:rsidP="00763914">
            <w:pPr>
              <w:pStyle w:val="ListParagraph"/>
              <w:spacing w:before="0" w:after="0" w:line="240" w:lineRule="auto"/>
              <w:ind w:left="0"/>
              <w:rPr>
                <w:color w:val="000000" w:themeColor="text1"/>
                <w:lang w:val="en"/>
              </w:rPr>
            </w:pPr>
            <w:r>
              <w:rPr>
                <w:color w:val="000000" w:themeColor="text1"/>
                <w:lang w:val="en"/>
              </w:rPr>
              <w:t>Principle 3 – resourcing delivery</w:t>
            </w:r>
            <w:r w:rsidR="00CF2BCA">
              <w:rPr>
                <w:color w:val="000000" w:themeColor="text1"/>
                <w:lang w:val="en"/>
              </w:rPr>
              <w:t xml:space="preserve"> of a high-quality learning experience</w:t>
            </w:r>
          </w:p>
        </w:tc>
        <w:tc>
          <w:tcPr>
            <w:tcW w:w="5335" w:type="dxa"/>
          </w:tcPr>
          <w:p w14:paraId="312E3FD0" w14:textId="469EB413" w:rsidR="00DC3098" w:rsidRDefault="00CF2BCA" w:rsidP="6862083E">
            <w:pPr>
              <w:pStyle w:val="ListParagraph"/>
              <w:spacing w:before="0" w:after="0" w:line="240" w:lineRule="auto"/>
              <w:ind w:left="0"/>
              <w:rPr>
                <w:color w:val="000000" w:themeColor="text1"/>
              </w:rPr>
            </w:pPr>
            <w:r w:rsidRPr="6862083E">
              <w:rPr>
                <w:color w:val="000000" w:themeColor="text1"/>
              </w:rPr>
              <w:t xml:space="preserve">Providers plan, secure and maintain resources relating to learning, technology, facilities and staffing to enable </w:t>
            </w:r>
            <w:r w:rsidR="00BB2FD7" w:rsidRPr="6862083E">
              <w:rPr>
                <w:color w:val="000000" w:themeColor="text1"/>
              </w:rPr>
              <w:t>the delivery and enhancement of an accessible, innovative and high-quality learning experience for students that aligns with the provider’s strategy and the composition of the student body</w:t>
            </w:r>
          </w:p>
        </w:tc>
      </w:tr>
      <w:tr w:rsidR="00BB2FD7" w14:paraId="38CDB0B8" w14:textId="77777777" w:rsidTr="6862083E">
        <w:tc>
          <w:tcPr>
            <w:tcW w:w="9163" w:type="dxa"/>
            <w:gridSpan w:val="2"/>
          </w:tcPr>
          <w:p w14:paraId="3BEE1CA5" w14:textId="3A13FA32" w:rsidR="00BB2FD7" w:rsidRPr="00BB2FD7" w:rsidRDefault="00BB2FD7" w:rsidP="00763914">
            <w:pPr>
              <w:pStyle w:val="ListParagraph"/>
              <w:spacing w:before="0" w:after="0" w:line="240" w:lineRule="auto"/>
              <w:ind w:left="0"/>
              <w:rPr>
                <w:b/>
                <w:bCs/>
                <w:color w:val="000000" w:themeColor="text1"/>
                <w:lang w:val="en"/>
              </w:rPr>
            </w:pPr>
            <w:r w:rsidRPr="00BB2FD7">
              <w:rPr>
                <w:b/>
                <w:bCs/>
                <w:color w:val="000000" w:themeColor="text1"/>
                <w:lang w:val="en"/>
              </w:rPr>
              <w:t>Evaluating Quality and Standards</w:t>
            </w:r>
          </w:p>
        </w:tc>
      </w:tr>
      <w:tr w:rsidR="00DC3098" w14:paraId="26F32F8D" w14:textId="77777777" w:rsidTr="6862083E">
        <w:tc>
          <w:tcPr>
            <w:tcW w:w="3828" w:type="dxa"/>
          </w:tcPr>
          <w:p w14:paraId="2704DAF3" w14:textId="36D5A416" w:rsidR="00DC3098" w:rsidRDefault="00BB2FD7" w:rsidP="00763914">
            <w:pPr>
              <w:pStyle w:val="ListParagraph"/>
              <w:spacing w:before="0" w:after="0" w:line="240" w:lineRule="auto"/>
              <w:ind w:left="0"/>
              <w:rPr>
                <w:color w:val="000000" w:themeColor="text1"/>
                <w:lang w:val="en"/>
              </w:rPr>
            </w:pPr>
            <w:r>
              <w:rPr>
                <w:color w:val="000000" w:themeColor="text1"/>
                <w:lang w:val="en"/>
              </w:rPr>
              <w:t>Principle 4 – using data to inform and evaluate quality</w:t>
            </w:r>
          </w:p>
        </w:tc>
        <w:tc>
          <w:tcPr>
            <w:tcW w:w="5335" w:type="dxa"/>
          </w:tcPr>
          <w:p w14:paraId="00506304" w14:textId="5538CC25" w:rsidR="00DC3098" w:rsidRDefault="00BB2FD7" w:rsidP="6862083E">
            <w:pPr>
              <w:pStyle w:val="ListParagraph"/>
              <w:spacing w:before="0" w:after="0" w:line="240" w:lineRule="auto"/>
              <w:ind w:left="0"/>
              <w:rPr>
                <w:color w:val="000000" w:themeColor="text1"/>
              </w:rPr>
            </w:pPr>
            <w:r w:rsidRPr="6862083E">
              <w:rPr>
                <w:color w:val="000000" w:themeColor="text1"/>
              </w:rPr>
              <w:t xml:space="preserve">Providers collect, </w:t>
            </w:r>
            <w:proofErr w:type="spellStart"/>
            <w:r w:rsidRPr="6862083E">
              <w:rPr>
                <w:color w:val="000000" w:themeColor="text1"/>
              </w:rPr>
              <w:t>analyse</w:t>
            </w:r>
            <w:proofErr w:type="spellEnd"/>
            <w:r w:rsidRPr="6862083E">
              <w:rPr>
                <w:color w:val="000000" w:themeColor="text1"/>
              </w:rPr>
              <w:t xml:space="preserve"> and </w:t>
            </w:r>
            <w:proofErr w:type="spellStart"/>
            <w:r w:rsidRPr="6862083E">
              <w:rPr>
                <w:color w:val="000000" w:themeColor="text1"/>
              </w:rPr>
              <w:t>utilise</w:t>
            </w:r>
            <w:proofErr w:type="spellEnd"/>
            <w:r w:rsidRPr="6862083E">
              <w:rPr>
                <w:color w:val="000000" w:themeColor="text1"/>
              </w:rPr>
              <w:t xml:space="preserve"> qualitative and quantitative data at provider, departmental, </w:t>
            </w:r>
            <w:proofErr w:type="spellStart"/>
            <w:r w:rsidRPr="6862083E">
              <w:rPr>
                <w:color w:val="000000" w:themeColor="text1"/>
              </w:rPr>
              <w:t>programme</w:t>
            </w:r>
            <w:proofErr w:type="spellEnd"/>
            <w:r w:rsidRPr="6862083E">
              <w:rPr>
                <w:color w:val="000000" w:themeColor="text1"/>
              </w:rPr>
              <w:t xml:space="preserve"> and module levels. These analyses inform decision-making with the aim of enhancing practices and processes relating to teaching, learning and the wider student experience.</w:t>
            </w:r>
          </w:p>
        </w:tc>
      </w:tr>
      <w:tr w:rsidR="00BB2FD7" w14:paraId="154442CF" w14:textId="77777777" w:rsidTr="6862083E">
        <w:tc>
          <w:tcPr>
            <w:tcW w:w="3828" w:type="dxa"/>
          </w:tcPr>
          <w:p w14:paraId="79B0A74A" w14:textId="68C4FD0B" w:rsidR="00BB2FD7" w:rsidRDefault="00BB2FD7" w:rsidP="6862083E">
            <w:pPr>
              <w:pStyle w:val="ListParagraph"/>
              <w:spacing w:before="0" w:after="0" w:line="240" w:lineRule="auto"/>
              <w:ind w:left="0"/>
              <w:rPr>
                <w:color w:val="000000" w:themeColor="text1"/>
              </w:rPr>
            </w:pPr>
            <w:r w:rsidRPr="6862083E">
              <w:rPr>
                <w:color w:val="000000" w:themeColor="text1"/>
              </w:rPr>
              <w:t>Principle 5 – monitoring, evaluating and enhancing provision</w:t>
            </w:r>
          </w:p>
        </w:tc>
        <w:tc>
          <w:tcPr>
            <w:tcW w:w="5335" w:type="dxa"/>
          </w:tcPr>
          <w:p w14:paraId="090EBBB8" w14:textId="7191B49F" w:rsidR="00BB2FD7" w:rsidRDefault="00BB2FD7" w:rsidP="6862083E">
            <w:pPr>
              <w:pStyle w:val="ListParagraph"/>
              <w:spacing w:before="0" w:after="0" w:line="240" w:lineRule="auto"/>
              <w:ind w:left="0"/>
              <w:rPr>
                <w:color w:val="000000" w:themeColor="text1"/>
              </w:rPr>
            </w:pPr>
            <w:r w:rsidRPr="6862083E">
              <w:rPr>
                <w:color w:val="000000" w:themeColor="text1"/>
              </w:rPr>
              <w:t xml:space="preserve">Providers regularly monitor and review their provision to secure academic standards and enhance quality. Deliberate </w:t>
            </w:r>
            <w:r w:rsidR="000E0BC3" w:rsidRPr="6862083E">
              <w:rPr>
                <w:color w:val="000000" w:themeColor="text1"/>
              </w:rPr>
              <w:t xml:space="preserve">steps are taken to engage and involve students, staff and external expertise in monitoring and evaluation activity. The outcomes and impact of these activities are </w:t>
            </w:r>
            <w:r w:rsidR="00126A5B" w:rsidRPr="6862083E">
              <w:rPr>
                <w:color w:val="000000" w:themeColor="text1"/>
              </w:rPr>
              <w:t>considered at provider level to drive reflection and enhancement across the provider</w:t>
            </w:r>
          </w:p>
        </w:tc>
      </w:tr>
      <w:tr w:rsidR="00BB2FD7" w14:paraId="18D3F418" w14:textId="77777777" w:rsidTr="6862083E">
        <w:tc>
          <w:tcPr>
            <w:tcW w:w="3828" w:type="dxa"/>
          </w:tcPr>
          <w:p w14:paraId="1B2BF762" w14:textId="7D7509C4" w:rsidR="00BB2FD7" w:rsidRDefault="00126A5B" w:rsidP="00763914">
            <w:pPr>
              <w:pStyle w:val="ListParagraph"/>
              <w:spacing w:before="0" w:after="0" w:line="240" w:lineRule="auto"/>
              <w:ind w:left="0"/>
              <w:rPr>
                <w:color w:val="000000" w:themeColor="text1"/>
                <w:lang w:val="en"/>
              </w:rPr>
            </w:pPr>
            <w:r>
              <w:rPr>
                <w:color w:val="000000" w:themeColor="text1"/>
                <w:lang w:val="en"/>
              </w:rPr>
              <w:lastRenderedPageBreak/>
              <w:t>Principle 6 – engaging in external review and accreditation</w:t>
            </w:r>
          </w:p>
        </w:tc>
        <w:tc>
          <w:tcPr>
            <w:tcW w:w="5335" w:type="dxa"/>
          </w:tcPr>
          <w:p w14:paraId="00BE1FBB" w14:textId="4AAF8BC8" w:rsidR="00BB2FD7" w:rsidRDefault="00126A5B" w:rsidP="6862083E">
            <w:pPr>
              <w:pStyle w:val="ListParagraph"/>
              <w:spacing w:before="0" w:after="0" w:line="240" w:lineRule="auto"/>
              <w:ind w:left="0"/>
              <w:rPr>
                <w:color w:val="000000" w:themeColor="text1"/>
              </w:rPr>
            </w:pPr>
            <w:r w:rsidRPr="6862083E">
              <w:rPr>
                <w:color w:val="000000" w:themeColor="text1"/>
              </w:rPr>
              <w:t>Providers engage with external reviews to give assurance about the effectiveness of their approach to managing quality and standards. External reviews offer insight about the comparability of providers’ approaches and generate outcomes that providers can use to enhance their policies and practices. Reviews may be commissioned by providers, form part of a nation</w:t>
            </w:r>
            <w:r w:rsidR="00AF6DA3" w:rsidRPr="6862083E">
              <w:rPr>
                <w:color w:val="000000" w:themeColor="text1"/>
              </w:rPr>
              <w:t xml:space="preserve">al quality framework or linked to professional recognition and actively include staff, students and peers. They can be undertaken by representative </w:t>
            </w:r>
            <w:proofErr w:type="spellStart"/>
            <w:r w:rsidR="00AF6DA3" w:rsidRPr="6862083E">
              <w:rPr>
                <w:color w:val="000000" w:themeColor="text1"/>
              </w:rPr>
              <w:t>organisations</w:t>
            </w:r>
            <w:proofErr w:type="spellEnd"/>
            <w:r w:rsidR="00AF6DA3" w:rsidRPr="6862083E">
              <w:rPr>
                <w:color w:val="000000" w:themeColor="text1"/>
              </w:rPr>
              <w:t>, agencies or professional, statutory and regulatory bodies (</w:t>
            </w:r>
            <w:proofErr w:type="spellStart"/>
            <w:r w:rsidR="00AF6DA3" w:rsidRPr="6862083E">
              <w:rPr>
                <w:color w:val="000000" w:themeColor="text1"/>
              </w:rPr>
              <w:t>PSRBs</w:t>
            </w:r>
            <w:proofErr w:type="spellEnd"/>
            <w:r w:rsidR="00AF6DA3" w:rsidRPr="6862083E">
              <w:rPr>
                <w:color w:val="000000" w:themeColor="text1"/>
              </w:rPr>
              <w:t xml:space="preserve">) with </w:t>
            </w:r>
            <w:proofErr w:type="spellStart"/>
            <w:r w:rsidR="00AF6DA3" w:rsidRPr="6862083E">
              <w:rPr>
                <w:color w:val="000000" w:themeColor="text1"/>
              </w:rPr>
              <w:t>recognised</w:t>
            </w:r>
            <w:proofErr w:type="spellEnd"/>
            <w:r w:rsidR="00AF6DA3" w:rsidRPr="6862083E">
              <w:rPr>
                <w:color w:val="000000" w:themeColor="text1"/>
              </w:rPr>
              <w:t xml:space="preserve"> sector expertise according to the provision being reviewed.</w:t>
            </w:r>
          </w:p>
        </w:tc>
      </w:tr>
      <w:tr w:rsidR="00AF6DA3" w14:paraId="5B3DB838" w14:textId="77777777" w:rsidTr="6862083E">
        <w:tc>
          <w:tcPr>
            <w:tcW w:w="9163" w:type="dxa"/>
            <w:gridSpan w:val="2"/>
          </w:tcPr>
          <w:p w14:paraId="3B80E77F" w14:textId="038077E1" w:rsidR="00AF6DA3" w:rsidRPr="00AF6DA3" w:rsidRDefault="00AF6DA3" w:rsidP="00763914">
            <w:pPr>
              <w:pStyle w:val="ListParagraph"/>
              <w:spacing w:before="0" w:after="0" w:line="240" w:lineRule="auto"/>
              <w:ind w:left="0"/>
              <w:rPr>
                <w:b/>
                <w:bCs/>
                <w:color w:val="000000" w:themeColor="text1"/>
                <w:lang w:val="en"/>
              </w:rPr>
            </w:pPr>
            <w:r w:rsidRPr="00AF6DA3">
              <w:rPr>
                <w:b/>
                <w:bCs/>
                <w:color w:val="000000" w:themeColor="text1"/>
                <w:lang w:val="en"/>
              </w:rPr>
              <w:t>Implementing the approach to quality enhancement and standards</w:t>
            </w:r>
          </w:p>
        </w:tc>
      </w:tr>
      <w:tr w:rsidR="00126A5B" w14:paraId="3961F6A6" w14:textId="77777777" w:rsidTr="6862083E">
        <w:tc>
          <w:tcPr>
            <w:tcW w:w="3828" w:type="dxa"/>
          </w:tcPr>
          <w:p w14:paraId="2D831F0A" w14:textId="680CEB9B" w:rsidR="00126A5B" w:rsidRDefault="00AF6DA3" w:rsidP="6862083E">
            <w:pPr>
              <w:pStyle w:val="ListParagraph"/>
              <w:spacing w:before="0" w:after="0" w:line="240" w:lineRule="auto"/>
              <w:ind w:left="0"/>
              <w:rPr>
                <w:color w:val="000000" w:themeColor="text1"/>
              </w:rPr>
            </w:pPr>
            <w:r w:rsidRPr="6862083E">
              <w:rPr>
                <w:color w:val="000000" w:themeColor="text1"/>
              </w:rPr>
              <w:t xml:space="preserve">Principle 7 – designing, developing, approving and modifying </w:t>
            </w:r>
            <w:proofErr w:type="spellStart"/>
            <w:r w:rsidRPr="6862083E">
              <w:rPr>
                <w:color w:val="000000" w:themeColor="text1"/>
              </w:rPr>
              <w:t>programmes</w:t>
            </w:r>
            <w:proofErr w:type="spellEnd"/>
          </w:p>
        </w:tc>
        <w:tc>
          <w:tcPr>
            <w:tcW w:w="5335" w:type="dxa"/>
          </w:tcPr>
          <w:p w14:paraId="1A4A8F23" w14:textId="290877C9" w:rsidR="00126A5B" w:rsidRDefault="00AF6DA3" w:rsidP="6862083E">
            <w:pPr>
              <w:pStyle w:val="ListParagraph"/>
              <w:spacing w:before="0" w:after="0" w:line="240" w:lineRule="auto"/>
              <w:ind w:left="0"/>
              <w:rPr>
                <w:color w:val="000000" w:themeColor="text1"/>
              </w:rPr>
            </w:pPr>
            <w:r w:rsidRPr="6862083E">
              <w:rPr>
                <w:color w:val="000000" w:themeColor="text1"/>
              </w:rPr>
              <w:t xml:space="preserve">Providers design, develop, approve and modify </w:t>
            </w:r>
            <w:proofErr w:type="spellStart"/>
            <w:r w:rsidRPr="6862083E">
              <w:rPr>
                <w:color w:val="000000" w:themeColor="text1"/>
              </w:rPr>
              <w:t>programmes</w:t>
            </w:r>
            <w:proofErr w:type="spellEnd"/>
            <w:r w:rsidRPr="6862083E">
              <w:rPr>
                <w:color w:val="000000" w:themeColor="text1"/>
              </w:rPr>
              <w:t xml:space="preserve"> and modules to ensure the quality of provision and the academic standards of awards are consistent with the relevant Qualifications Framework. Providers ensure their provision and level of qualifications are comparable to those offered across the UK and, where applicable, The Framework of Qualifications for the European Higher Education Area</w:t>
            </w:r>
          </w:p>
        </w:tc>
      </w:tr>
      <w:tr w:rsidR="00126A5B" w14:paraId="797C3898" w14:textId="77777777" w:rsidTr="6862083E">
        <w:tc>
          <w:tcPr>
            <w:tcW w:w="3828" w:type="dxa"/>
          </w:tcPr>
          <w:p w14:paraId="4B4A50B1" w14:textId="708228E4" w:rsidR="00126A5B" w:rsidRDefault="00AF6DA3" w:rsidP="6862083E">
            <w:pPr>
              <w:pStyle w:val="ListParagraph"/>
              <w:spacing w:before="0" w:after="0" w:line="240" w:lineRule="auto"/>
              <w:ind w:left="0"/>
              <w:rPr>
                <w:color w:val="000000" w:themeColor="text1"/>
              </w:rPr>
            </w:pPr>
            <w:r w:rsidRPr="6862083E">
              <w:rPr>
                <w:color w:val="000000" w:themeColor="text1"/>
              </w:rPr>
              <w:t xml:space="preserve">Principle 8 – operating partnerships with other </w:t>
            </w:r>
            <w:proofErr w:type="spellStart"/>
            <w:r w:rsidRPr="6862083E">
              <w:rPr>
                <w:color w:val="000000" w:themeColor="text1"/>
              </w:rPr>
              <w:t>organisations</w:t>
            </w:r>
            <w:proofErr w:type="spellEnd"/>
          </w:p>
        </w:tc>
        <w:tc>
          <w:tcPr>
            <w:tcW w:w="5335" w:type="dxa"/>
          </w:tcPr>
          <w:p w14:paraId="7D0665CC" w14:textId="55E7AC09" w:rsidR="00126A5B" w:rsidRDefault="00BA2FFF" w:rsidP="00763914">
            <w:pPr>
              <w:pStyle w:val="ListParagraph"/>
              <w:spacing w:before="0" w:after="0" w:line="240" w:lineRule="auto"/>
              <w:ind w:left="0"/>
              <w:rPr>
                <w:color w:val="000000" w:themeColor="text1"/>
                <w:lang w:val="en"/>
              </w:rPr>
            </w:pPr>
            <w:r>
              <w:t xml:space="preserve">Providers and their partners agree proportionate arrangements for effective governance to secure the academic standards and enhance the quality of </w:t>
            </w:r>
            <w:proofErr w:type="spellStart"/>
            <w:r>
              <w:t>programmes</w:t>
            </w:r>
            <w:proofErr w:type="spellEnd"/>
            <w:r>
              <w:t xml:space="preserve"> and modules that are delivered in partnership with others. </w:t>
            </w:r>
            <w:proofErr w:type="spellStart"/>
            <w:r>
              <w:t>Organisations</w:t>
            </w:r>
            <w:proofErr w:type="spellEnd"/>
            <w:r>
              <w:t xml:space="preserve"> involved in partnership arrangements agree and communicate the mutual and specific responsibilities in relation to delivering, monitoring, evaluating, assuring and enhancing the learning experience</w:t>
            </w:r>
          </w:p>
        </w:tc>
      </w:tr>
      <w:tr w:rsidR="00BA2FFF" w14:paraId="3117036F" w14:textId="77777777" w:rsidTr="6862083E">
        <w:tc>
          <w:tcPr>
            <w:tcW w:w="3828" w:type="dxa"/>
          </w:tcPr>
          <w:p w14:paraId="4C02F883" w14:textId="117041AA" w:rsidR="00BA2FFF" w:rsidRDefault="00BA2FFF" w:rsidP="6862083E">
            <w:pPr>
              <w:pStyle w:val="ListParagraph"/>
              <w:spacing w:before="0" w:after="0" w:line="240" w:lineRule="auto"/>
              <w:ind w:left="0"/>
              <w:rPr>
                <w:color w:val="000000" w:themeColor="text1"/>
              </w:rPr>
            </w:pPr>
            <w:r w:rsidRPr="6862083E">
              <w:rPr>
                <w:color w:val="000000" w:themeColor="text1"/>
              </w:rPr>
              <w:t>Principle 9 - recruiting, selecting and admitting students</w:t>
            </w:r>
          </w:p>
        </w:tc>
        <w:tc>
          <w:tcPr>
            <w:tcW w:w="5335" w:type="dxa"/>
          </w:tcPr>
          <w:p w14:paraId="29049D65" w14:textId="677DA7E7" w:rsidR="00BA2FFF" w:rsidRDefault="00BA2FFF" w:rsidP="00763914">
            <w:pPr>
              <w:pStyle w:val="ListParagraph"/>
              <w:spacing w:before="0" w:after="0" w:line="240" w:lineRule="auto"/>
              <w:ind w:left="0"/>
            </w:pPr>
            <w:r>
              <w:t>Providers operate recruitment, selection and admissions processes that are transparent, fair and inclusive. Providers maintain and publish accurate, relevant and accessible information about their provision, enabling students to make informed choices about their studies and future aspirations</w:t>
            </w:r>
          </w:p>
        </w:tc>
      </w:tr>
      <w:tr w:rsidR="00BA2FFF" w14:paraId="1B8AE678" w14:textId="77777777" w:rsidTr="6862083E">
        <w:tc>
          <w:tcPr>
            <w:tcW w:w="3828" w:type="dxa"/>
          </w:tcPr>
          <w:p w14:paraId="0A9C9CDC" w14:textId="1602BF65" w:rsidR="00BA2FFF" w:rsidRDefault="00BA2FFF" w:rsidP="00763914">
            <w:pPr>
              <w:pStyle w:val="ListParagraph"/>
              <w:spacing w:before="0" w:after="0" w:line="240" w:lineRule="auto"/>
              <w:ind w:left="0"/>
              <w:rPr>
                <w:color w:val="000000" w:themeColor="text1"/>
                <w:lang w:val="en"/>
              </w:rPr>
            </w:pPr>
            <w:r>
              <w:rPr>
                <w:color w:val="000000" w:themeColor="text1"/>
                <w:lang w:val="en"/>
              </w:rPr>
              <w:t>Principle 10 – supporting students to achieve their potential</w:t>
            </w:r>
          </w:p>
        </w:tc>
        <w:tc>
          <w:tcPr>
            <w:tcW w:w="5335" w:type="dxa"/>
          </w:tcPr>
          <w:p w14:paraId="353A603D" w14:textId="453E2831" w:rsidR="00BA2FFF" w:rsidRDefault="00CF6619" w:rsidP="00763914">
            <w:pPr>
              <w:pStyle w:val="ListParagraph"/>
              <w:spacing w:before="0" w:after="0" w:line="240" w:lineRule="auto"/>
              <w:ind w:left="0"/>
            </w:pPr>
            <w:r>
              <w:t xml:space="preserve">Providers facilitate a framework of support for students that enables them to have a high-quality learning experience and achieve their potential as they progress in their studies. The </w:t>
            </w:r>
            <w:r>
              <w:lastRenderedPageBreak/>
              <w:t xml:space="preserve">support structure scaffolds the academic, personal and professional learning journey, enabling students to </w:t>
            </w:r>
            <w:proofErr w:type="spellStart"/>
            <w:r>
              <w:t>recognise</w:t>
            </w:r>
            <w:proofErr w:type="spellEnd"/>
            <w:r>
              <w:t xml:space="preserve"> and articulate their progress and achievements</w:t>
            </w:r>
          </w:p>
        </w:tc>
      </w:tr>
      <w:tr w:rsidR="00CF6619" w14:paraId="79891617" w14:textId="77777777" w:rsidTr="6862083E">
        <w:tc>
          <w:tcPr>
            <w:tcW w:w="3828" w:type="dxa"/>
          </w:tcPr>
          <w:p w14:paraId="293CEC36" w14:textId="2251DB15" w:rsidR="00CF6619" w:rsidRDefault="00CF6619" w:rsidP="00763914">
            <w:pPr>
              <w:pStyle w:val="ListParagraph"/>
              <w:spacing w:before="0" w:after="0" w:line="240" w:lineRule="auto"/>
              <w:ind w:left="0"/>
              <w:rPr>
                <w:color w:val="000000" w:themeColor="text1"/>
                <w:lang w:val="en"/>
              </w:rPr>
            </w:pPr>
            <w:r>
              <w:rPr>
                <w:color w:val="000000" w:themeColor="text1"/>
                <w:lang w:val="en"/>
              </w:rPr>
              <w:lastRenderedPageBreak/>
              <w:t>Principle 11 – teaching, learning and assessment</w:t>
            </w:r>
          </w:p>
        </w:tc>
        <w:tc>
          <w:tcPr>
            <w:tcW w:w="5335" w:type="dxa"/>
          </w:tcPr>
          <w:p w14:paraId="213E993A" w14:textId="7A6F732B" w:rsidR="00CF6619" w:rsidRDefault="00CF6619" w:rsidP="00763914">
            <w:pPr>
              <w:pStyle w:val="ListParagraph"/>
              <w:spacing w:before="0" w:after="0" w:line="240" w:lineRule="auto"/>
              <w:ind w:left="0"/>
            </w:pPr>
            <w:r>
              <w:t xml:space="preserve">Providers facilitate a collaborative and inclusive approach that enables students to have a high-quality learning experience and to progress through their studies. All students are supported to develop and demonstrate academic and professional skills and competencies. Assessment employs a variety of methods, embodying the values of academic integrity, producing outcomes that are comparable across the UK and </w:t>
            </w:r>
            <w:proofErr w:type="spellStart"/>
            <w:r>
              <w:t>recognised</w:t>
            </w:r>
            <w:proofErr w:type="spellEnd"/>
            <w:r>
              <w:t xml:space="preserve"> globally</w:t>
            </w:r>
          </w:p>
        </w:tc>
      </w:tr>
      <w:tr w:rsidR="00CF6619" w14:paraId="65196EE9" w14:textId="77777777" w:rsidTr="6862083E">
        <w:tc>
          <w:tcPr>
            <w:tcW w:w="3828" w:type="dxa"/>
          </w:tcPr>
          <w:p w14:paraId="5FC9B875" w14:textId="1A5EB66E" w:rsidR="00CF6619" w:rsidRDefault="00CF6619" w:rsidP="6862083E">
            <w:pPr>
              <w:pStyle w:val="ListParagraph"/>
              <w:spacing w:before="0" w:after="0" w:line="240" w:lineRule="auto"/>
              <w:ind w:left="0"/>
              <w:rPr>
                <w:color w:val="000000" w:themeColor="text1"/>
              </w:rPr>
            </w:pPr>
            <w:r w:rsidRPr="6862083E">
              <w:rPr>
                <w:color w:val="000000" w:themeColor="text1"/>
              </w:rPr>
              <w:t>Principle 12 – operating concerns, complaints and appeals processes</w:t>
            </w:r>
          </w:p>
        </w:tc>
        <w:tc>
          <w:tcPr>
            <w:tcW w:w="5335" w:type="dxa"/>
          </w:tcPr>
          <w:p w14:paraId="58B64F9F" w14:textId="693601F5" w:rsidR="00CF6619" w:rsidRDefault="00044CAC" w:rsidP="00763914">
            <w:pPr>
              <w:pStyle w:val="ListParagraph"/>
              <w:spacing w:before="0" w:after="0" w:line="240" w:lineRule="auto"/>
              <w:ind w:left="0"/>
            </w:pPr>
            <w:r>
              <w:t>Providers operate processes for complaints and appeals that are robust, fair, transparent and accessible, and clearly articulated to staff and students. Policies and processes for concerns, complaints and appeals are regularly reviewed and the outcomes are used to support the enhancement of provision and the student experience.</w:t>
            </w:r>
          </w:p>
        </w:tc>
      </w:tr>
    </w:tbl>
    <w:p w14:paraId="6F42243E" w14:textId="77777777" w:rsidR="00281086" w:rsidRPr="00281086" w:rsidRDefault="00281086" w:rsidP="00281086">
      <w:pPr>
        <w:pStyle w:val="ListParagraph"/>
        <w:rPr>
          <w:color w:val="000000" w:themeColor="text1"/>
          <w:lang w:val="en"/>
        </w:rPr>
      </w:pPr>
    </w:p>
    <w:p w14:paraId="18B512C3" w14:textId="00C9E28A" w:rsidR="00071048" w:rsidRPr="00E14651" w:rsidRDefault="006A7123" w:rsidP="00FF67D8">
      <w:pPr>
        <w:pStyle w:val="Heading2"/>
        <w:ind w:hanging="567"/>
        <w:rPr>
          <w:lang w:val="en-GB"/>
        </w:rPr>
      </w:pPr>
      <w:bookmarkStart w:id="6" w:name="_Toc172013882"/>
      <w:r w:rsidRPr="00307F03">
        <w:rPr>
          <w:lang w:val="en-GB"/>
        </w:rPr>
        <w:t>Review of Higher Education</w:t>
      </w:r>
      <w:bookmarkEnd w:id="6"/>
    </w:p>
    <w:p w14:paraId="53C26ED5" w14:textId="2770AC30" w:rsidR="00FD549F" w:rsidRPr="00723708" w:rsidRDefault="00A140B2" w:rsidP="6862083E">
      <w:pPr>
        <w:pStyle w:val="ListParagraph"/>
        <w:numPr>
          <w:ilvl w:val="0"/>
          <w:numId w:val="14"/>
        </w:numPr>
        <w:spacing w:before="0" w:after="0" w:line="240" w:lineRule="auto"/>
        <w:ind w:left="-142" w:hanging="425"/>
        <w:divId w:val="371267821"/>
      </w:pPr>
      <w:r w:rsidRPr="6862083E">
        <w:t xml:space="preserve">The </w:t>
      </w:r>
      <w:r w:rsidR="005D76E5" w:rsidRPr="6862083E">
        <w:t>OfS</w:t>
      </w:r>
      <w:r w:rsidR="00AA199C" w:rsidRPr="6862083E">
        <w:t xml:space="preserve"> </w:t>
      </w:r>
      <w:r w:rsidR="00BC3D35" w:rsidRPr="6862083E">
        <w:t>is</w:t>
      </w:r>
      <w:r w:rsidR="00AA199C" w:rsidRPr="6862083E">
        <w:t xml:space="preserve"> a risk-based regulator</w:t>
      </w:r>
      <w:r w:rsidR="003B07E9" w:rsidRPr="6862083E">
        <w:t xml:space="preserve"> which means that</w:t>
      </w:r>
      <w:r w:rsidR="00AA199C" w:rsidRPr="6862083E">
        <w:t xml:space="preserve"> assessment and monitoring activities </w:t>
      </w:r>
      <w:r w:rsidR="00BC3D35" w:rsidRPr="6862083E">
        <w:t xml:space="preserve">will be </w:t>
      </w:r>
      <w:r w:rsidR="00AA199C" w:rsidRPr="6862083E">
        <w:t>targeted at providers who represent a higher risk to students and their outcomes</w:t>
      </w:r>
      <w:r w:rsidR="00307F03" w:rsidRPr="6862083E">
        <w:t xml:space="preserve">.  </w:t>
      </w:r>
      <w:r w:rsidR="00BC3D35" w:rsidRPr="6862083E">
        <w:t>Providers</w:t>
      </w:r>
      <w:r w:rsidR="00672DC5" w:rsidRPr="6862083E">
        <w:t xml:space="preserve"> who are not </w:t>
      </w:r>
      <w:r w:rsidR="00BC3D35" w:rsidRPr="6862083E">
        <w:t>delivering</w:t>
      </w:r>
      <w:r w:rsidR="00672DC5" w:rsidRPr="6862083E">
        <w:t xml:space="preserve"> </w:t>
      </w:r>
      <w:r w:rsidR="00BC3D35" w:rsidRPr="6862083E">
        <w:t xml:space="preserve">and maintaining </w:t>
      </w:r>
      <w:r w:rsidR="00672DC5" w:rsidRPr="6862083E">
        <w:t>the academic experience and reli</w:t>
      </w:r>
      <w:r w:rsidR="00152013" w:rsidRPr="6862083E">
        <w:t>a</w:t>
      </w:r>
      <w:r w:rsidR="00672DC5" w:rsidRPr="6862083E">
        <w:t xml:space="preserve">ble standards </w:t>
      </w:r>
      <w:r w:rsidR="00BC3D35" w:rsidRPr="6862083E">
        <w:t xml:space="preserve">will be identified by the OfS </w:t>
      </w:r>
      <w:r w:rsidR="00672DC5" w:rsidRPr="6862083E">
        <w:t xml:space="preserve">through </w:t>
      </w:r>
      <w:r w:rsidR="00AA199C" w:rsidRPr="6862083E">
        <w:t>ongoing monitoring.</w:t>
      </w:r>
    </w:p>
    <w:p w14:paraId="14D39423" w14:textId="77777777" w:rsidR="00D86134" w:rsidRPr="00723708" w:rsidRDefault="00D86134" w:rsidP="00723708">
      <w:pPr>
        <w:pStyle w:val="ListParagraph"/>
        <w:spacing w:before="0" w:after="0" w:line="240" w:lineRule="auto"/>
        <w:divId w:val="371267821"/>
        <w:rPr>
          <w:bCs/>
          <w:lang w:val="en"/>
        </w:rPr>
      </w:pPr>
    </w:p>
    <w:p w14:paraId="0C53D70C" w14:textId="288A6303" w:rsidR="00071048" w:rsidRPr="00723708" w:rsidRDefault="00FD549F" w:rsidP="6862083E">
      <w:pPr>
        <w:pStyle w:val="ListParagraph"/>
        <w:numPr>
          <w:ilvl w:val="0"/>
          <w:numId w:val="14"/>
        </w:numPr>
        <w:spacing w:before="0" w:after="0" w:line="240" w:lineRule="auto"/>
        <w:ind w:left="-142" w:hanging="425"/>
        <w:divId w:val="371267821"/>
      </w:pPr>
      <w:r w:rsidRPr="6862083E">
        <w:t>The University was tested against the quality and standards conditions when it applied to register with the OfS</w:t>
      </w:r>
      <w:r w:rsidR="00307F03" w:rsidRPr="6862083E">
        <w:t xml:space="preserve">. </w:t>
      </w:r>
      <w:r w:rsidR="00BC3D35" w:rsidRPr="6862083E">
        <w:t>T</w:t>
      </w:r>
      <w:r w:rsidRPr="6862083E">
        <w:t>he O</w:t>
      </w:r>
      <w:r w:rsidR="00E106DC" w:rsidRPr="6862083E">
        <w:t>f</w:t>
      </w:r>
      <w:r w:rsidRPr="6862083E">
        <w:t>S will</w:t>
      </w:r>
      <w:r w:rsidR="00AA199C" w:rsidRPr="6862083E">
        <w:t xml:space="preserve"> continue to monitor that </w:t>
      </w:r>
      <w:r w:rsidR="00BC3D35" w:rsidRPr="6862083E">
        <w:t xml:space="preserve">providers on the Register are </w:t>
      </w:r>
      <w:r w:rsidR="000F16FC" w:rsidRPr="6862083E">
        <w:t>continu</w:t>
      </w:r>
      <w:r w:rsidR="00BC3D35" w:rsidRPr="6862083E">
        <w:t xml:space="preserve">ing </w:t>
      </w:r>
      <w:r w:rsidR="000F16FC" w:rsidRPr="6862083E">
        <w:t>to</w:t>
      </w:r>
      <w:r w:rsidR="00AA199C" w:rsidRPr="6862083E">
        <w:t xml:space="preserve"> meet the conditions</w:t>
      </w:r>
      <w:r w:rsidR="000340E0" w:rsidRPr="6862083E">
        <w:t xml:space="preserve"> </w:t>
      </w:r>
      <w:r w:rsidR="00BC3D35" w:rsidRPr="6862083E">
        <w:t xml:space="preserve">of registration </w:t>
      </w:r>
      <w:r w:rsidR="000340E0" w:rsidRPr="6862083E">
        <w:t>through general monitoring and random sampling.</w:t>
      </w:r>
    </w:p>
    <w:p w14:paraId="18076386" w14:textId="77777777" w:rsidR="00D86134" w:rsidRDefault="00D86134" w:rsidP="00580996">
      <w:pPr>
        <w:pStyle w:val="Heading3"/>
        <w:divId w:val="371267821"/>
      </w:pPr>
    </w:p>
    <w:p w14:paraId="1153E204" w14:textId="13E6CB06" w:rsidR="000340E0" w:rsidRPr="00AA298B" w:rsidRDefault="000340E0" w:rsidP="00580996">
      <w:pPr>
        <w:pStyle w:val="Heading3"/>
        <w:divId w:val="371267821"/>
      </w:pPr>
      <w:bookmarkStart w:id="7" w:name="_Toc172013883"/>
      <w:r w:rsidRPr="00AA298B">
        <w:t>General monitoring</w:t>
      </w:r>
      <w:bookmarkEnd w:id="7"/>
    </w:p>
    <w:p w14:paraId="2EA66CAC" w14:textId="1E949AA9" w:rsidR="00071048" w:rsidRPr="00723708" w:rsidRDefault="000340E0" w:rsidP="6862083E">
      <w:pPr>
        <w:pStyle w:val="ListParagraph"/>
        <w:numPr>
          <w:ilvl w:val="0"/>
          <w:numId w:val="14"/>
        </w:numPr>
        <w:spacing w:before="0" w:after="0" w:line="240" w:lineRule="auto"/>
        <w:ind w:left="-142" w:hanging="425"/>
      </w:pPr>
      <w:r w:rsidRPr="6862083E">
        <w:t xml:space="preserve">The OfS will use ‘lead indicators’ constructed from regularly obtained reliable data from </w:t>
      </w:r>
      <w:r w:rsidR="00AA298B" w:rsidRPr="6862083E">
        <w:t xml:space="preserve">higher education </w:t>
      </w:r>
      <w:r w:rsidR="00BC3D35" w:rsidRPr="6862083E">
        <w:t>providers</w:t>
      </w:r>
      <w:r w:rsidRPr="6862083E">
        <w:t xml:space="preserve"> and others, alongside ‘reportable events’ that </w:t>
      </w:r>
      <w:r w:rsidR="00AA298B" w:rsidRPr="6862083E">
        <w:t>all providers</w:t>
      </w:r>
      <w:r w:rsidRPr="6862083E">
        <w:t xml:space="preserve"> are required to report to the OfS</w:t>
      </w:r>
      <w:r w:rsidR="00307F03" w:rsidRPr="6862083E">
        <w:t xml:space="preserve">.  </w:t>
      </w:r>
      <w:r w:rsidRPr="6862083E">
        <w:t xml:space="preserve">Where </w:t>
      </w:r>
      <w:r w:rsidR="00034D85" w:rsidRPr="6862083E">
        <w:t xml:space="preserve">the </w:t>
      </w:r>
      <w:r w:rsidRPr="6862083E">
        <w:t>information suggest</w:t>
      </w:r>
      <w:r w:rsidR="00D90579" w:rsidRPr="6862083E">
        <w:t>s</w:t>
      </w:r>
      <w:r w:rsidRPr="6862083E">
        <w:t xml:space="preserve"> that further investigation is necessary, the OfS will engage with </w:t>
      </w:r>
      <w:r w:rsidR="00AA298B" w:rsidRPr="6862083E">
        <w:t xml:space="preserve">providers </w:t>
      </w:r>
      <w:r w:rsidR="00D90579" w:rsidRPr="6862083E">
        <w:t xml:space="preserve">to </w:t>
      </w:r>
      <w:r w:rsidRPr="6862083E">
        <w:t>seek further information and make a judgement about whether the risk of a breach has increased.</w:t>
      </w:r>
    </w:p>
    <w:p w14:paraId="03472AEE" w14:textId="77777777" w:rsidR="00D86134" w:rsidRPr="00723708" w:rsidRDefault="00D86134" w:rsidP="00723708">
      <w:pPr>
        <w:pStyle w:val="ListParagraph"/>
        <w:spacing w:before="0" w:after="0" w:line="240" w:lineRule="auto"/>
        <w:rPr>
          <w:bCs/>
          <w:lang w:val="en"/>
        </w:rPr>
      </w:pPr>
    </w:p>
    <w:p w14:paraId="13F8935E" w14:textId="0FFADA05" w:rsidR="00071048" w:rsidRPr="00723708" w:rsidRDefault="001A5658" w:rsidP="6862083E">
      <w:pPr>
        <w:pStyle w:val="ListParagraph"/>
        <w:numPr>
          <w:ilvl w:val="0"/>
          <w:numId w:val="14"/>
        </w:numPr>
        <w:spacing w:before="0" w:after="0" w:line="240" w:lineRule="auto"/>
        <w:ind w:left="-142" w:hanging="425"/>
      </w:pPr>
      <w:r w:rsidRPr="6862083E">
        <w:t xml:space="preserve">From its review and </w:t>
      </w:r>
      <w:r w:rsidR="00307F03" w:rsidRPr="6862083E">
        <w:t>investigation,</w:t>
      </w:r>
      <w:r w:rsidRPr="6862083E">
        <w:t xml:space="preserve"> the </w:t>
      </w:r>
      <w:r w:rsidR="000340E0" w:rsidRPr="6862083E">
        <w:t>OfS will consider whether action is necessary and being taken by the provider</w:t>
      </w:r>
      <w:r w:rsidR="00307F03" w:rsidRPr="6862083E">
        <w:t xml:space="preserve">.  </w:t>
      </w:r>
      <w:r w:rsidR="000340E0" w:rsidRPr="6862083E">
        <w:t xml:space="preserve">Regulatory intervention, such as the imposition of specific conditions, will not usually be taken </w:t>
      </w:r>
      <w:r w:rsidR="00E07D4C" w:rsidRPr="6862083E">
        <w:t>based on</w:t>
      </w:r>
      <w:r w:rsidR="000340E0" w:rsidRPr="6862083E">
        <w:t xml:space="preserve"> the lead indicators themselves, but after the OfS has established through further assessment that the risk of a breach has increased</w:t>
      </w:r>
      <w:r w:rsidR="00307F03" w:rsidRPr="6862083E">
        <w:t xml:space="preserve">. </w:t>
      </w:r>
      <w:r w:rsidR="000340E0" w:rsidRPr="6862083E">
        <w:t xml:space="preserve">Sanctions will not be applied unless one or more conditions have been </w:t>
      </w:r>
      <w:r w:rsidR="000340E0" w:rsidRPr="6862083E">
        <w:lastRenderedPageBreak/>
        <w:t xml:space="preserve">breached. </w:t>
      </w:r>
    </w:p>
    <w:p w14:paraId="1D1F041B" w14:textId="77777777" w:rsidR="00D86134" w:rsidRDefault="00D86134" w:rsidP="00580996">
      <w:pPr>
        <w:pStyle w:val="Heading3"/>
      </w:pPr>
    </w:p>
    <w:p w14:paraId="76EDBF7A" w14:textId="5C46A46E" w:rsidR="00DA5793" w:rsidRPr="00B029A3" w:rsidRDefault="00F617B3" w:rsidP="00580996">
      <w:pPr>
        <w:pStyle w:val="Heading3"/>
      </w:pPr>
      <w:bookmarkStart w:id="8" w:name="_Toc172013884"/>
      <w:r w:rsidRPr="00B029A3">
        <w:t>Random Sampling</w:t>
      </w:r>
      <w:bookmarkEnd w:id="8"/>
    </w:p>
    <w:p w14:paraId="2468AD6F" w14:textId="70934EB0" w:rsidR="00071048" w:rsidRPr="00723708" w:rsidRDefault="00DA5793" w:rsidP="6862083E">
      <w:pPr>
        <w:pStyle w:val="ListParagraph"/>
        <w:numPr>
          <w:ilvl w:val="0"/>
          <w:numId w:val="14"/>
        </w:numPr>
        <w:spacing w:before="0" w:after="0" w:line="240" w:lineRule="auto"/>
        <w:ind w:left="-142" w:hanging="425"/>
      </w:pPr>
      <w:r w:rsidRPr="6862083E">
        <w:t xml:space="preserve">The OfS </w:t>
      </w:r>
      <w:r w:rsidR="0021549E" w:rsidRPr="6862083E">
        <w:t xml:space="preserve">will </w:t>
      </w:r>
      <w:r w:rsidRPr="6862083E">
        <w:t xml:space="preserve">reassess providers’ compliance with their ongoing conditions of registration </w:t>
      </w:r>
      <w:r w:rsidR="00A5493A" w:rsidRPr="6862083E">
        <w:t>and will do this for a random sample of providers each year</w:t>
      </w:r>
      <w:r w:rsidR="00E14651" w:rsidRPr="6862083E">
        <w:t>.</w:t>
      </w:r>
    </w:p>
    <w:p w14:paraId="2CA71FC1" w14:textId="77777777" w:rsidR="00D86134" w:rsidRPr="00723708" w:rsidRDefault="00D86134" w:rsidP="00723708">
      <w:pPr>
        <w:pStyle w:val="ListParagraph"/>
        <w:spacing w:before="0" w:after="0" w:line="240" w:lineRule="auto"/>
        <w:rPr>
          <w:bCs/>
          <w:lang w:val="en"/>
        </w:rPr>
      </w:pPr>
    </w:p>
    <w:p w14:paraId="4A239DFD" w14:textId="49ED38C1" w:rsidR="001923BC" w:rsidRPr="00723708" w:rsidRDefault="003D3410" w:rsidP="6862083E">
      <w:pPr>
        <w:pStyle w:val="ListParagraph"/>
        <w:numPr>
          <w:ilvl w:val="0"/>
          <w:numId w:val="14"/>
        </w:numPr>
        <w:spacing w:before="0" w:after="0" w:line="240" w:lineRule="auto"/>
        <w:ind w:left="-142" w:hanging="425"/>
      </w:pPr>
      <w:r w:rsidRPr="6862083E">
        <w:t>The OfS will begin by sampling five per cent of all registered providers each year</w:t>
      </w:r>
      <w:r w:rsidR="00307F03" w:rsidRPr="6862083E">
        <w:t xml:space="preserve">.  </w:t>
      </w:r>
      <w:r w:rsidRPr="6862083E">
        <w:t xml:space="preserve">The sample pool will be </w:t>
      </w:r>
      <w:proofErr w:type="spellStart"/>
      <w:r w:rsidRPr="6862083E">
        <w:t>categorised</w:t>
      </w:r>
      <w:proofErr w:type="spellEnd"/>
      <w:r w:rsidRPr="6862083E">
        <w:t>, with providers of different kinds grouped so that the sample in each year represents the diversity of the sect</w:t>
      </w:r>
      <w:r w:rsidR="006A2726" w:rsidRPr="6862083E">
        <w:t>or</w:t>
      </w:r>
      <w:r w:rsidR="00307F03" w:rsidRPr="6862083E">
        <w:t xml:space="preserve">.  </w:t>
      </w:r>
      <w:r w:rsidR="00E315A3" w:rsidRPr="6862083E">
        <w:t>Once a provider has been sampled</w:t>
      </w:r>
      <w:r w:rsidR="00071048" w:rsidRPr="6862083E">
        <w:t>.</w:t>
      </w:r>
    </w:p>
    <w:p w14:paraId="39CE22D4" w14:textId="77777777" w:rsidR="00D86134" w:rsidRDefault="00D86134" w:rsidP="002336C1">
      <w:pPr>
        <w:pStyle w:val="Heading2"/>
        <w:rPr>
          <w:lang w:val="en-GB"/>
        </w:rPr>
      </w:pPr>
    </w:p>
    <w:p w14:paraId="28F8B899" w14:textId="2279E836" w:rsidR="001923BC" w:rsidRPr="00662FEE" w:rsidRDefault="00700AE5" w:rsidP="00FF67D8">
      <w:pPr>
        <w:pStyle w:val="Heading2"/>
        <w:ind w:hanging="567"/>
      </w:pPr>
      <w:bookmarkStart w:id="9" w:name="_Toc172013885"/>
      <w:r w:rsidRPr="00B029A3">
        <w:rPr>
          <w:lang w:val="en-GB"/>
        </w:rPr>
        <w:t>Alternative Providers</w:t>
      </w:r>
      <w:bookmarkEnd w:id="9"/>
    </w:p>
    <w:p w14:paraId="55AAB33D" w14:textId="18D1A9D2" w:rsidR="001923BC" w:rsidRPr="00723708" w:rsidRDefault="00700AE5" w:rsidP="6862083E">
      <w:pPr>
        <w:pStyle w:val="ListParagraph"/>
        <w:numPr>
          <w:ilvl w:val="0"/>
          <w:numId w:val="14"/>
        </w:numPr>
        <w:spacing w:before="0" w:after="0" w:line="240" w:lineRule="auto"/>
        <w:ind w:left="-142" w:hanging="425"/>
      </w:pPr>
      <w:r w:rsidRPr="6862083E">
        <w:t>A</w:t>
      </w:r>
      <w:r w:rsidR="001923BC" w:rsidRPr="6862083E">
        <w:t>lternative providers of higher education can gain access for their eligible students to undergraduate student support (tuition fee and maintenance loans), postgraduate master's loans and disabled students</w:t>
      </w:r>
      <w:r w:rsidR="00307F03" w:rsidRPr="6862083E">
        <w:t>’</w:t>
      </w:r>
      <w:r w:rsidR="001923BC" w:rsidRPr="6862083E">
        <w:t xml:space="preserve"> allowances (DSA)</w:t>
      </w:r>
      <w:r w:rsidRPr="6862083E">
        <w:t xml:space="preserve"> by registering with the OfS.</w:t>
      </w:r>
    </w:p>
    <w:p w14:paraId="09651FC3" w14:textId="77777777" w:rsidR="00D86134" w:rsidRPr="00723708" w:rsidRDefault="00D86134" w:rsidP="00723708">
      <w:pPr>
        <w:pStyle w:val="ListParagraph"/>
        <w:spacing w:before="0" w:after="0" w:line="240" w:lineRule="auto"/>
        <w:rPr>
          <w:bCs/>
          <w:lang w:val="en"/>
        </w:rPr>
      </w:pPr>
    </w:p>
    <w:p w14:paraId="1A7F9400" w14:textId="260022AD" w:rsidR="00680CC8" w:rsidRPr="00723708" w:rsidRDefault="00680CC8" w:rsidP="6862083E">
      <w:pPr>
        <w:pStyle w:val="ListParagraph"/>
        <w:numPr>
          <w:ilvl w:val="0"/>
          <w:numId w:val="14"/>
        </w:numPr>
        <w:spacing w:before="0" w:after="0" w:line="240" w:lineRule="auto"/>
        <w:ind w:left="-142" w:hanging="425"/>
      </w:pPr>
      <w:r w:rsidRPr="6862083E">
        <w:t>A number of KU’s collaborative partners</w:t>
      </w:r>
      <w:r w:rsidR="00700AE5" w:rsidRPr="6862083E">
        <w:t xml:space="preserve"> are registered with the OfS</w:t>
      </w:r>
      <w:r w:rsidRPr="6862083E">
        <w:t xml:space="preserve">.  The withdrawal of </w:t>
      </w:r>
      <w:r w:rsidR="00700AE5" w:rsidRPr="6862083E">
        <w:t xml:space="preserve">OfS registration </w:t>
      </w:r>
      <w:r w:rsidRPr="6862083E">
        <w:t xml:space="preserve">will form part of the evidence base for Institutional Monitoring (see section B of this handbook) and will be reported to the next available Education Committee.  The University will consider on a case-by-case basis the arrangements to protect the quality and standards and learning experience of continuing students to enable them to complete their </w:t>
      </w:r>
      <w:proofErr w:type="spellStart"/>
      <w:r w:rsidRPr="6862083E">
        <w:t>programme</w:t>
      </w:r>
      <w:proofErr w:type="spellEnd"/>
      <w:r w:rsidRPr="6862083E">
        <w:t xml:space="preserve"> of study</w:t>
      </w:r>
      <w:r w:rsidR="00F22052" w:rsidRPr="6862083E">
        <w:t>.</w:t>
      </w:r>
    </w:p>
    <w:p w14:paraId="5A3138C8" w14:textId="77777777" w:rsidR="00D86134" w:rsidRDefault="00D86134" w:rsidP="002336C1">
      <w:pPr>
        <w:pStyle w:val="Heading2"/>
        <w:rPr>
          <w:lang w:val="en-GB"/>
        </w:rPr>
      </w:pPr>
    </w:p>
    <w:p w14:paraId="3BBD54FE" w14:textId="078025A7" w:rsidR="006C24A4" w:rsidRPr="00662FEE" w:rsidRDefault="006C24A4" w:rsidP="00FF67D8">
      <w:pPr>
        <w:pStyle w:val="Heading2"/>
        <w:ind w:hanging="567"/>
        <w:rPr>
          <w:lang w:val="en-GB"/>
        </w:rPr>
      </w:pPr>
      <w:bookmarkStart w:id="10" w:name="_Toc172013886"/>
      <w:r w:rsidRPr="00B029A3">
        <w:rPr>
          <w:lang w:val="en-GB"/>
        </w:rPr>
        <w:t>Information to Students</w:t>
      </w:r>
      <w:bookmarkEnd w:id="10"/>
    </w:p>
    <w:p w14:paraId="72DF7DC8" w14:textId="434D86F2" w:rsidR="00CB461A" w:rsidRPr="00723708" w:rsidRDefault="006C24A4" w:rsidP="6862083E">
      <w:pPr>
        <w:pStyle w:val="ListParagraph"/>
        <w:numPr>
          <w:ilvl w:val="0"/>
          <w:numId w:val="14"/>
        </w:numPr>
        <w:spacing w:before="0" w:after="0" w:line="240" w:lineRule="auto"/>
        <w:ind w:left="-142" w:hanging="425"/>
      </w:pPr>
      <w:r w:rsidRPr="6862083E">
        <w:t xml:space="preserve">The University is required to provide </w:t>
      </w:r>
      <w:r w:rsidR="0079480A" w:rsidRPr="6862083E">
        <w:t xml:space="preserve">information on </w:t>
      </w:r>
      <w:r w:rsidRPr="6862083E">
        <w:t xml:space="preserve">what is defined as ‘material information’ </w:t>
      </w:r>
      <w:r w:rsidR="0079480A" w:rsidRPr="6862083E">
        <w:t>by the C</w:t>
      </w:r>
      <w:r w:rsidR="00063531" w:rsidRPr="6862083E">
        <w:t>ompetition</w:t>
      </w:r>
      <w:r w:rsidR="008375E3" w:rsidRPr="6862083E">
        <w:t xml:space="preserve"> </w:t>
      </w:r>
      <w:r w:rsidR="00063531" w:rsidRPr="6862083E">
        <w:t>and Markets Authority</w:t>
      </w:r>
      <w:r w:rsidR="008375E3" w:rsidRPr="6862083E">
        <w:t xml:space="preserve"> (C</w:t>
      </w:r>
      <w:r w:rsidR="0079480A" w:rsidRPr="6862083E">
        <w:t>MA</w:t>
      </w:r>
      <w:r w:rsidR="008375E3" w:rsidRPr="6862083E">
        <w:t>)</w:t>
      </w:r>
      <w:r w:rsidR="00063531" w:rsidRPr="6862083E">
        <w:t xml:space="preserve">, </w:t>
      </w:r>
      <w:r w:rsidRPr="6862083E">
        <w:t>to prospective students to assis</w:t>
      </w:r>
      <w:r w:rsidR="00CB461A" w:rsidRPr="6862083E">
        <w:t xml:space="preserve">t in consumer decision making. </w:t>
      </w:r>
      <w:r w:rsidR="00B80814" w:rsidRPr="6862083E">
        <w:t xml:space="preserve"> The </w:t>
      </w:r>
      <w:r w:rsidR="00CB461A" w:rsidRPr="6862083E">
        <w:t xml:space="preserve">OfS </w:t>
      </w:r>
      <w:r w:rsidR="00B80814" w:rsidRPr="6862083E">
        <w:t xml:space="preserve">requires </w:t>
      </w:r>
      <w:r w:rsidR="00CB461A" w:rsidRPr="6862083E">
        <w:t xml:space="preserve">institutions </w:t>
      </w:r>
      <w:r w:rsidR="00B80814" w:rsidRPr="6862083E">
        <w:t xml:space="preserve">to </w:t>
      </w:r>
      <w:r w:rsidR="00CB461A" w:rsidRPr="6862083E">
        <w:t xml:space="preserve">demonstrate that due regard was given to relevant </w:t>
      </w:r>
      <w:r w:rsidR="00B80814" w:rsidRPr="6862083E">
        <w:t xml:space="preserve">consumer protection law </w:t>
      </w:r>
      <w:r w:rsidR="00CB461A" w:rsidRPr="6862083E">
        <w:t>guidance when developing and implementing policies, procedures, and terms and conditions.</w:t>
      </w:r>
    </w:p>
    <w:p w14:paraId="42F40607" w14:textId="77777777" w:rsidR="00D86134" w:rsidRPr="00723708" w:rsidRDefault="00D86134" w:rsidP="00723708">
      <w:pPr>
        <w:pStyle w:val="ListParagraph"/>
        <w:spacing w:before="0" w:after="0" w:line="240" w:lineRule="auto"/>
        <w:rPr>
          <w:bCs/>
          <w:lang w:val="en"/>
        </w:rPr>
      </w:pPr>
    </w:p>
    <w:p w14:paraId="3F2E49CC" w14:textId="5E8EC10A" w:rsidR="00CB461A" w:rsidRPr="00723708" w:rsidRDefault="00CB461A" w:rsidP="6862083E">
      <w:pPr>
        <w:pStyle w:val="ListParagraph"/>
        <w:numPr>
          <w:ilvl w:val="0"/>
          <w:numId w:val="14"/>
        </w:numPr>
        <w:spacing w:before="0" w:after="0" w:line="240" w:lineRule="auto"/>
        <w:ind w:left="-142" w:hanging="425"/>
      </w:pPr>
      <w:r w:rsidRPr="6862083E">
        <w:t xml:space="preserve">The Competition and Markets Authority (CMA) </w:t>
      </w:r>
      <w:r w:rsidR="00D56195" w:rsidRPr="6862083E">
        <w:t xml:space="preserve">first </w:t>
      </w:r>
      <w:r w:rsidRPr="6862083E">
        <w:t xml:space="preserve">published guidance </w:t>
      </w:r>
      <w:r w:rsidR="00B16943" w:rsidRPr="6862083E">
        <w:t>i</w:t>
      </w:r>
      <w:r w:rsidRPr="6862083E">
        <w:t xml:space="preserve">n March 2015 to assist institutions in complying with consumer protection law. </w:t>
      </w:r>
      <w:r w:rsidR="00DD6221" w:rsidRPr="6862083E">
        <w:t xml:space="preserve">This </w:t>
      </w:r>
      <w:r w:rsidR="0004589A" w:rsidRPr="6862083E">
        <w:t>guidance</w:t>
      </w:r>
      <w:r w:rsidR="00326440" w:rsidRPr="6862083E">
        <w:t xml:space="preserve"> </w:t>
      </w:r>
      <w:r w:rsidR="00DD6221" w:rsidRPr="6862083E">
        <w:t>was updated</w:t>
      </w:r>
      <w:r w:rsidR="00326440" w:rsidRPr="6862083E">
        <w:t xml:space="preserve"> in </w:t>
      </w:r>
      <w:hyperlink r:id="rId15">
        <w:r w:rsidR="00326440" w:rsidRPr="6862083E">
          <w:rPr>
            <w:rStyle w:val="Hyperlink"/>
            <w:color w:val="000000" w:themeColor="text1"/>
          </w:rPr>
          <w:t>May 2023</w:t>
        </w:r>
      </w:hyperlink>
      <w:r w:rsidR="00326440" w:rsidRPr="6862083E">
        <w:rPr>
          <w:color w:val="000000" w:themeColor="text1"/>
        </w:rPr>
        <w:t xml:space="preserve">. </w:t>
      </w:r>
      <w:r w:rsidR="00DD6221" w:rsidRPr="6862083E">
        <w:rPr>
          <w:color w:val="000000" w:themeColor="text1"/>
        </w:rPr>
        <w:t xml:space="preserve">  </w:t>
      </w:r>
    </w:p>
    <w:p w14:paraId="304D8810" w14:textId="77777777" w:rsidR="00D86134" w:rsidRPr="00723708" w:rsidRDefault="00D86134" w:rsidP="00723708">
      <w:pPr>
        <w:pStyle w:val="ListParagraph"/>
        <w:spacing w:before="0" w:after="0" w:line="240" w:lineRule="auto"/>
        <w:rPr>
          <w:bCs/>
          <w:lang w:val="en"/>
        </w:rPr>
      </w:pPr>
    </w:p>
    <w:p w14:paraId="0779A06B" w14:textId="2698003A" w:rsidR="006C24A4" w:rsidRPr="00723708" w:rsidRDefault="006C24A4" w:rsidP="6862083E">
      <w:pPr>
        <w:pStyle w:val="ListParagraph"/>
        <w:numPr>
          <w:ilvl w:val="0"/>
          <w:numId w:val="14"/>
        </w:numPr>
        <w:spacing w:before="0" w:after="0" w:line="240" w:lineRule="auto"/>
        <w:ind w:left="-142" w:hanging="425"/>
      </w:pPr>
      <w:r w:rsidRPr="6862083E">
        <w:t>Failure to provide material information as defined by consumer law has the potential to result in enforcement action by the CMA</w:t>
      </w:r>
      <w:r w:rsidR="00CB461A" w:rsidRPr="6862083E">
        <w:t xml:space="preserve">, OfS, </w:t>
      </w:r>
      <w:r w:rsidRPr="6862083E">
        <w:t>loc</w:t>
      </w:r>
      <w:r w:rsidR="00CB461A" w:rsidRPr="6862083E">
        <w:t>al authority Trading Standards</w:t>
      </w:r>
      <w:r w:rsidRPr="6862083E">
        <w:t xml:space="preserve"> or legal action by students. </w:t>
      </w:r>
    </w:p>
    <w:p w14:paraId="54A7EAF8" w14:textId="77777777" w:rsidR="00D86134" w:rsidRDefault="00D86134" w:rsidP="002336C1">
      <w:pPr>
        <w:pStyle w:val="Heading2"/>
        <w:rPr>
          <w:lang w:val="en-GB"/>
        </w:rPr>
      </w:pPr>
    </w:p>
    <w:p w14:paraId="41701B3F" w14:textId="2969A33C" w:rsidR="00E35009" w:rsidRPr="00662FEE" w:rsidRDefault="00732386" w:rsidP="00FF67D8">
      <w:pPr>
        <w:pStyle w:val="Heading2"/>
        <w:ind w:hanging="567"/>
        <w:rPr>
          <w:lang w:val="en-GB"/>
        </w:rPr>
      </w:pPr>
      <w:bookmarkStart w:id="11" w:name="_Toc172013887"/>
      <w:proofErr w:type="spellStart"/>
      <w:r w:rsidRPr="00B029A3">
        <w:rPr>
          <w:lang w:val="en-GB"/>
        </w:rPr>
        <w:t>Unistats</w:t>
      </w:r>
      <w:proofErr w:type="spellEnd"/>
      <w:r w:rsidRPr="00B029A3">
        <w:rPr>
          <w:lang w:val="en-GB"/>
        </w:rPr>
        <w:t xml:space="preserve"> Data Collection</w:t>
      </w:r>
      <w:bookmarkEnd w:id="11"/>
      <w:r w:rsidRPr="00B029A3">
        <w:rPr>
          <w:lang w:val="en-GB"/>
        </w:rPr>
        <w:t xml:space="preserve"> </w:t>
      </w:r>
    </w:p>
    <w:p w14:paraId="0B3785FD" w14:textId="008DA39F" w:rsidR="00E35009" w:rsidRPr="00723708" w:rsidRDefault="00732386" w:rsidP="6862083E">
      <w:pPr>
        <w:pStyle w:val="ListParagraph"/>
        <w:numPr>
          <w:ilvl w:val="0"/>
          <w:numId w:val="14"/>
        </w:numPr>
        <w:spacing w:before="0" w:after="0" w:line="240" w:lineRule="auto"/>
        <w:ind w:left="-142" w:hanging="425"/>
      </w:pPr>
      <w:proofErr w:type="spellStart"/>
      <w:r w:rsidRPr="6862083E">
        <w:t>Unistats</w:t>
      </w:r>
      <w:proofErr w:type="spellEnd"/>
      <w:r w:rsidRPr="6862083E">
        <w:t xml:space="preserve"> </w:t>
      </w:r>
      <w:r w:rsidR="00E35009" w:rsidRPr="6862083E">
        <w:t xml:space="preserve">form part of </w:t>
      </w:r>
      <w:r w:rsidR="00CB461A" w:rsidRPr="6862083E">
        <w:t xml:space="preserve">the </w:t>
      </w:r>
      <w:r w:rsidR="00E35009" w:rsidRPr="6862083E">
        <w:t>work to enhance the information available about higher education and have been designed to give prospective students access to robust, reliable and comparable information in order to help them make informed decisions about what and where to study.</w:t>
      </w:r>
    </w:p>
    <w:p w14:paraId="7AA6438E" w14:textId="77777777" w:rsidR="00A8190B" w:rsidRPr="00723708" w:rsidRDefault="00A8190B" w:rsidP="00723708">
      <w:pPr>
        <w:pStyle w:val="ListParagraph"/>
        <w:spacing w:before="0" w:after="0" w:line="240" w:lineRule="auto"/>
        <w:rPr>
          <w:bCs/>
          <w:lang w:val="en"/>
        </w:rPr>
      </w:pPr>
    </w:p>
    <w:p w14:paraId="0547ACA4" w14:textId="4F729AB7" w:rsidR="00732386" w:rsidRPr="00723708" w:rsidRDefault="00732386" w:rsidP="6862083E">
      <w:pPr>
        <w:pStyle w:val="ListParagraph"/>
        <w:numPr>
          <w:ilvl w:val="0"/>
          <w:numId w:val="14"/>
        </w:numPr>
        <w:spacing w:before="0" w:after="0" w:line="240" w:lineRule="auto"/>
        <w:ind w:left="-142" w:hanging="425"/>
      </w:pPr>
      <w:r w:rsidRPr="6862083E">
        <w:t xml:space="preserve">The core information it contains is called the </w:t>
      </w:r>
      <w:proofErr w:type="spellStart"/>
      <w:r w:rsidRPr="6862083E">
        <w:t>Unistats</w:t>
      </w:r>
      <w:proofErr w:type="spellEnd"/>
      <w:r w:rsidRPr="6862083E">
        <w:t xml:space="preserve"> Data Set (formerly the Key Information Set (KIS)), which includes: </w:t>
      </w:r>
    </w:p>
    <w:p w14:paraId="29B6D470" w14:textId="24A363FF" w:rsidR="00732386" w:rsidRPr="00662FEE" w:rsidRDefault="00732386">
      <w:pPr>
        <w:pStyle w:val="ListParagraph"/>
        <w:numPr>
          <w:ilvl w:val="0"/>
          <w:numId w:val="10"/>
        </w:numPr>
        <w:spacing w:before="0" w:after="0" w:line="240" w:lineRule="auto"/>
        <w:rPr>
          <w:b/>
        </w:rPr>
      </w:pPr>
      <w:r w:rsidRPr="00B029A3">
        <w:t>Student satisfaction from the National Student Survey (NSS)</w:t>
      </w:r>
    </w:p>
    <w:p w14:paraId="58D4A9EA" w14:textId="60848869" w:rsidR="00732386" w:rsidRPr="00662FEE" w:rsidRDefault="00732386">
      <w:pPr>
        <w:pStyle w:val="ListParagraph"/>
        <w:numPr>
          <w:ilvl w:val="0"/>
          <w:numId w:val="10"/>
        </w:numPr>
        <w:spacing w:before="0" w:after="0" w:line="240" w:lineRule="auto"/>
        <w:rPr>
          <w:b/>
        </w:rPr>
      </w:pPr>
      <w:r w:rsidRPr="00B029A3">
        <w:lastRenderedPageBreak/>
        <w:t>How the course is assessed</w:t>
      </w:r>
    </w:p>
    <w:p w14:paraId="463B9899" w14:textId="09BE3642" w:rsidR="00732386" w:rsidRPr="00E14651" w:rsidRDefault="00732386">
      <w:pPr>
        <w:pStyle w:val="ListParagraph"/>
        <w:numPr>
          <w:ilvl w:val="0"/>
          <w:numId w:val="10"/>
        </w:numPr>
        <w:spacing w:before="0" w:after="0" w:line="240" w:lineRule="auto"/>
        <w:rPr>
          <w:b/>
        </w:rPr>
      </w:pPr>
      <w:r w:rsidRPr="00B029A3">
        <w:t>Course accreditation by professional, statutory or regulatory bodies</w:t>
      </w:r>
      <w:r w:rsidRPr="00662FEE">
        <w:rPr>
          <w:lang w:val="en-GB"/>
        </w:rPr>
        <w:t xml:space="preserve"> </w:t>
      </w:r>
      <w:r w:rsidRPr="00B029A3">
        <w:t>(PSRBs)</w:t>
      </w:r>
    </w:p>
    <w:p w14:paraId="165B5ADC" w14:textId="77777777" w:rsidR="00A8190B" w:rsidRDefault="00A8190B" w:rsidP="00A8190B">
      <w:pPr>
        <w:pStyle w:val="ListParagraph"/>
        <w:spacing w:before="0" w:after="0" w:line="240" w:lineRule="auto"/>
      </w:pPr>
    </w:p>
    <w:p w14:paraId="30ED0E1D" w14:textId="77777777" w:rsidR="00723708" w:rsidRDefault="00732386" w:rsidP="6862083E">
      <w:pPr>
        <w:pStyle w:val="ListParagraph"/>
        <w:numPr>
          <w:ilvl w:val="0"/>
          <w:numId w:val="14"/>
        </w:numPr>
        <w:spacing w:before="0" w:after="0" w:line="240" w:lineRule="auto"/>
        <w:ind w:left="-142" w:hanging="425"/>
      </w:pPr>
      <w:proofErr w:type="spellStart"/>
      <w:r w:rsidRPr="6862083E">
        <w:t>Unistats</w:t>
      </w:r>
      <w:proofErr w:type="spellEnd"/>
      <w:r w:rsidRPr="6862083E">
        <w:t xml:space="preserve"> data</w:t>
      </w:r>
      <w:r w:rsidR="00E35009" w:rsidRPr="6862083E">
        <w:t xml:space="preserve"> are required for most full-time and part-time undergraduate courses</w:t>
      </w:r>
      <w:r w:rsidR="008A4D52" w:rsidRPr="6862083E">
        <w:t xml:space="preserve"> for</w:t>
      </w:r>
      <w:r w:rsidR="00E35009" w:rsidRPr="6862083E">
        <w:t xml:space="preserve"> institutions which </w:t>
      </w:r>
      <w:r w:rsidR="00CB461A" w:rsidRPr="6862083E">
        <w:t>are registered with the OfS</w:t>
      </w:r>
      <w:r w:rsidR="00E35009" w:rsidRPr="6862083E">
        <w:t>.  The only exceptions are short courses (one year full-time equivalent or less), postgraduate courses, those delivered wholly overseas, and closed courses.</w:t>
      </w:r>
    </w:p>
    <w:p w14:paraId="5A11C104" w14:textId="77777777" w:rsidR="00723708" w:rsidRDefault="00723708" w:rsidP="00723708">
      <w:pPr>
        <w:pStyle w:val="ListParagraph"/>
        <w:spacing w:before="0" w:after="0" w:line="240" w:lineRule="auto"/>
        <w:rPr>
          <w:bCs/>
          <w:lang w:val="en"/>
        </w:rPr>
      </w:pPr>
    </w:p>
    <w:p w14:paraId="58B21E59" w14:textId="3DFB59F9" w:rsidR="00723708" w:rsidRPr="00723708" w:rsidRDefault="00E35009" w:rsidP="0072387F">
      <w:pPr>
        <w:pStyle w:val="ListParagraph"/>
        <w:numPr>
          <w:ilvl w:val="0"/>
          <w:numId w:val="14"/>
        </w:numPr>
        <w:spacing w:before="0" w:after="0" w:line="240" w:lineRule="auto"/>
        <w:ind w:left="-131" w:hanging="436"/>
        <w:rPr>
          <w:bCs/>
          <w:lang w:val="en"/>
        </w:rPr>
      </w:pPr>
      <w:r w:rsidRPr="00723708">
        <w:rPr>
          <w:rFonts w:cs="Arial"/>
          <w:color w:val="000000" w:themeColor="text1"/>
        </w:rPr>
        <w:t xml:space="preserve">Much of the </w:t>
      </w:r>
      <w:proofErr w:type="spellStart"/>
      <w:r w:rsidR="00732386" w:rsidRPr="00723708">
        <w:rPr>
          <w:rFonts w:cs="Arial"/>
          <w:color w:val="000000" w:themeColor="text1"/>
        </w:rPr>
        <w:t>Unistats</w:t>
      </w:r>
      <w:proofErr w:type="spellEnd"/>
      <w:r w:rsidRPr="00723708">
        <w:rPr>
          <w:rFonts w:cs="Arial"/>
          <w:color w:val="000000" w:themeColor="text1"/>
        </w:rPr>
        <w:t xml:space="preserve"> information already exists in a national and comparable form, but there are several items of information that do not currently exist in that form and are supplied directly by universities and colleges.  For further information see the</w:t>
      </w:r>
      <w:r w:rsidR="00BE1826" w:rsidRPr="00723708">
        <w:rPr>
          <w:rFonts w:cs="Arial"/>
          <w:color w:val="000000" w:themeColor="text1"/>
        </w:rPr>
        <w:t xml:space="preserve"> </w:t>
      </w:r>
      <w:hyperlink r:id="rId16" w:history="1">
        <w:r w:rsidR="00BE1826" w:rsidRPr="00723708">
          <w:rPr>
            <w:rStyle w:val="Hyperlink"/>
            <w:rFonts w:cs="Arial"/>
          </w:rPr>
          <w:t>HESA website</w:t>
        </w:r>
      </w:hyperlink>
      <w:r w:rsidR="00BE1826" w:rsidRPr="00723708">
        <w:rPr>
          <w:rFonts w:cs="Arial"/>
        </w:rPr>
        <w:t>.</w:t>
      </w:r>
    </w:p>
    <w:p w14:paraId="0FD22156" w14:textId="77777777" w:rsidR="00723708" w:rsidRPr="00723708" w:rsidRDefault="00723708" w:rsidP="00723708">
      <w:pPr>
        <w:pStyle w:val="ListParagraph"/>
        <w:spacing w:before="0" w:after="0" w:line="240" w:lineRule="auto"/>
        <w:rPr>
          <w:bCs/>
          <w:lang w:val="en"/>
        </w:rPr>
      </w:pPr>
    </w:p>
    <w:p w14:paraId="2C86DCBF" w14:textId="3B1310D0" w:rsidR="00E35009" w:rsidRPr="00723708" w:rsidRDefault="00E35009" w:rsidP="0072387F">
      <w:pPr>
        <w:pStyle w:val="ListParagraph"/>
        <w:numPr>
          <w:ilvl w:val="0"/>
          <w:numId w:val="14"/>
        </w:numPr>
        <w:spacing w:before="0" w:after="0" w:line="240" w:lineRule="auto"/>
        <w:ind w:left="-142" w:hanging="425"/>
        <w:rPr>
          <w:bCs/>
          <w:lang w:val="en"/>
        </w:rPr>
      </w:pPr>
      <w:r w:rsidRPr="00723708">
        <w:rPr>
          <w:rFonts w:cs="Arial"/>
          <w:color w:val="000000" w:themeColor="text1"/>
        </w:rPr>
        <w:t xml:space="preserve">Students </w:t>
      </w:r>
      <w:r w:rsidR="00CF3AE2" w:rsidRPr="00723708">
        <w:rPr>
          <w:rFonts w:cs="Arial"/>
          <w:color w:val="000000" w:themeColor="text1"/>
        </w:rPr>
        <w:t>can</w:t>
      </w:r>
      <w:r w:rsidRPr="00723708">
        <w:rPr>
          <w:rFonts w:cs="Arial"/>
          <w:color w:val="000000" w:themeColor="text1"/>
        </w:rPr>
        <w:t xml:space="preserve"> view the results via the </w:t>
      </w:r>
      <w:hyperlink r:id="rId17" w:history="1">
        <w:r w:rsidR="00257A46" w:rsidRPr="00723708">
          <w:rPr>
            <w:rStyle w:val="Hyperlink"/>
            <w:rFonts w:cs="Arial"/>
            <w:color w:val="000000" w:themeColor="text1"/>
          </w:rPr>
          <w:t>Discover Uni site</w:t>
        </w:r>
      </w:hyperlink>
      <w:r w:rsidRPr="00723708">
        <w:rPr>
          <w:rFonts w:cs="Arial"/>
          <w:color w:val="000000" w:themeColor="text1"/>
        </w:rPr>
        <w:t xml:space="preserve"> and via a ‘widget’ or small advert on each KU course page.</w:t>
      </w:r>
    </w:p>
    <w:p w14:paraId="190A140F" w14:textId="77777777" w:rsidR="00A8190B" w:rsidRDefault="00A8190B" w:rsidP="002336C1">
      <w:pPr>
        <w:pStyle w:val="Heading2"/>
      </w:pPr>
    </w:p>
    <w:p w14:paraId="48DBD13A" w14:textId="7B236C99" w:rsidR="00E35009" w:rsidRPr="00BE1826" w:rsidRDefault="008A127A" w:rsidP="0072387F">
      <w:pPr>
        <w:pStyle w:val="Heading2"/>
        <w:ind w:hanging="567"/>
      </w:pPr>
      <w:bookmarkStart w:id="12" w:name="_Toc172013888"/>
      <w:r w:rsidRPr="00B029A3">
        <w:t>External Examiner Reports</w:t>
      </w:r>
      <w:bookmarkEnd w:id="12"/>
    </w:p>
    <w:p w14:paraId="761E274D" w14:textId="6446F647" w:rsidR="00711656" w:rsidRPr="00B029A3" w:rsidRDefault="00DF7797" w:rsidP="0072387F">
      <w:pPr>
        <w:pStyle w:val="ListParagraph"/>
        <w:numPr>
          <w:ilvl w:val="0"/>
          <w:numId w:val="14"/>
        </w:numPr>
        <w:spacing w:before="0" w:after="0" w:line="240" w:lineRule="auto"/>
        <w:ind w:left="-142" w:hanging="425"/>
      </w:pPr>
      <w:r w:rsidRPr="00B029A3">
        <w:t>Universities are required to make external examiners’ reports available to students</w:t>
      </w:r>
      <w:r w:rsidR="00307F03" w:rsidRPr="00B029A3">
        <w:t xml:space="preserve">. </w:t>
      </w:r>
      <w:r w:rsidR="00C56832">
        <w:t xml:space="preserve">Reports are made available </w:t>
      </w:r>
      <w:r w:rsidR="005F37DF">
        <w:t xml:space="preserve">to student course representatives </w:t>
      </w:r>
      <w:r w:rsidR="00C56832">
        <w:t>via Student Voice Committees</w:t>
      </w:r>
      <w:r w:rsidR="005F37DF">
        <w:t xml:space="preserve"> (SVCs)</w:t>
      </w:r>
      <w:r w:rsidR="00C56832">
        <w:t>.</w:t>
      </w:r>
      <w:r w:rsidR="00307F03" w:rsidRPr="00B029A3">
        <w:t xml:space="preserve"> </w:t>
      </w:r>
      <w:r w:rsidR="008A127A" w:rsidRPr="00B029A3">
        <w:t>I</w:t>
      </w:r>
      <w:r w:rsidRPr="00B029A3">
        <w:t xml:space="preserve">ndividual students can request the external examiner reports relevant to their course from </w:t>
      </w:r>
      <w:r w:rsidR="006652CA" w:rsidRPr="00B029A3">
        <w:t>QAE</w:t>
      </w:r>
      <w:r w:rsidR="006C24A4" w:rsidRPr="00B029A3">
        <w:t xml:space="preserve"> </w:t>
      </w:r>
      <w:r w:rsidR="0027368C" w:rsidRPr="00B029A3">
        <w:t>by e-mailing</w:t>
      </w:r>
      <w:r w:rsidR="006C24A4" w:rsidRPr="00B029A3">
        <w:t xml:space="preserve"> the </w:t>
      </w:r>
      <w:hyperlink r:id="rId18" w:history="1">
        <w:r w:rsidR="006C24A4" w:rsidRPr="00C2564E">
          <w:rPr>
            <w:rStyle w:val="Hyperlink"/>
            <w:rFonts w:cs="Arial"/>
            <w:color w:val="000000" w:themeColor="text1"/>
          </w:rPr>
          <w:t>QAE noticeboard</w:t>
        </w:r>
      </w:hyperlink>
      <w:r w:rsidRPr="00B029A3">
        <w:t>.</w:t>
      </w:r>
    </w:p>
    <w:p w14:paraId="2DDEAC45" w14:textId="77777777" w:rsidR="00A8190B" w:rsidRDefault="00A8190B" w:rsidP="002336C1">
      <w:pPr>
        <w:pStyle w:val="Heading2"/>
        <w:rPr>
          <w:szCs w:val="24"/>
          <w:lang w:val="en-GB"/>
        </w:rPr>
      </w:pPr>
    </w:p>
    <w:p w14:paraId="540BAD08" w14:textId="32B03B46" w:rsidR="00DF7797" w:rsidRPr="00120BE7" w:rsidRDefault="00DF7797" w:rsidP="0072387F">
      <w:pPr>
        <w:pStyle w:val="Heading2"/>
        <w:ind w:left="-567"/>
        <w:rPr>
          <w:szCs w:val="24"/>
          <w:lang w:val="en-GB"/>
        </w:rPr>
      </w:pPr>
      <w:bookmarkStart w:id="13" w:name="_Toc172013889"/>
      <w:r w:rsidRPr="00B029A3">
        <w:rPr>
          <w:szCs w:val="24"/>
          <w:lang w:val="en-GB"/>
        </w:rPr>
        <w:t>Assessing the quality and stand</w:t>
      </w:r>
      <w:r w:rsidR="0098739B" w:rsidRPr="00B029A3">
        <w:rPr>
          <w:szCs w:val="24"/>
          <w:lang w:val="en-GB"/>
        </w:rPr>
        <w:t>ards of Initial Teacher Education</w:t>
      </w:r>
      <w:r w:rsidRPr="00B029A3">
        <w:rPr>
          <w:szCs w:val="24"/>
          <w:lang w:val="en-GB"/>
        </w:rPr>
        <w:t xml:space="preserve"> (OFSTED Inspection)</w:t>
      </w:r>
      <w:bookmarkEnd w:id="13"/>
    </w:p>
    <w:p w14:paraId="1F28A1FE" w14:textId="77777777" w:rsidR="00A8190B" w:rsidRDefault="00A8190B" w:rsidP="00580996">
      <w:pPr>
        <w:pStyle w:val="Heading3"/>
      </w:pPr>
    </w:p>
    <w:p w14:paraId="5EF9E7B1" w14:textId="5283A39D" w:rsidR="00A24BEC" w:rsidRPr="00B029A3" w:rsidRDefault="00DF7797" w:rsidP="00580996">
      <w:pPr>
        <w:pStyle w:val="Heading3"/>
      </w:pPr>
      <w:bookmarkStart w:id="14" w:name="_Toc172013890"/>
      <w:r w:rsidRPr="00B029A3">
        <w:t>Introduction</w:t>
      </w:r>
      <w:bookmarkEnd w:id="14"/>
    </w:p>
    <w:p w14:paraId="12B9159B" w14:textId="20D63049" w:rsidR="00DF7797" w:rsidRPr="00B50E6D" w:rsidRDefault="00116620" w:rsidP="0072387F">
      <w:pPr>
        <w:pStyle w:val="ListParagraph"/>
        <w:numPr>
          <w:ilvl w:val="0"/>
          <w:numId w:val="14"/>
        </w:numPr>
        <w:spacing w:before="0" w:after="0" w:line="240" w:lineRule="auto"/>
        <w:ind w:left="-142" w:hanging="425"/>
      </w:pPr>
      <w:r w:rsidRPr="00B50E6D">
        <w:t xml:space="preserve">Ofsted is responsible for conducting inspections of all providers of </w:t>
      </w:r>
      <w:proofErr w:type="spellStart"/>
      <w:r w:rsidRPr="00B50E6D">
        <w:t>programmes</w:t>
      </w:r>
      <w:proofErr w:type="spellEnd"/>
      <w:r w:rsidRPr="00B50E6D">
        <w:t xml:space="preserve"> leading to qualified teacher status (QTS) for maintained schools. </w:t>
      </w:r>
    </w:p>
    <w:p w14:paraId="1C1602FE" w14:textId="77777777" w:rsidR="00A8190B" w:rsidRDefault="00A8190B" w:rsidP="00580996">
      <w:pPr>
        <w:pStyle w:val="Heading3"/>
      </w:pPr>
    </w:p>
    <w:p w14:paraId="617E9839" w14:textId="74DB4C96" w:rsidR="00DF7797" w:rsidRPr="00B029A3" w:rsidRDefault="00DF7797" w:rsidP="00580996">
      <w:pPr>
        <w:pStyle w:val="Heading3"/>
      </w:pPr>
      <w:bookmarkStart w:id="15" w:name="_Toc172013891"/>
      <w:r w:rsidRPr="00B029A3">
        <w:t>Purposes of inspection</w:t>
      </w:r>
      <w:bookmarkEnd w:id="15"/>
    </w:p>
    <w:p w14:paraId="50A2B665" w14:textId="77777777" w:rsidR="00DF7797" w:rsidRPr="00B50E6D" w:rsidRDefault="00DF7797" w:rsidP="0072387F">
      <w:pPr>
        <w:pStyle w:val="ListParagraph"/>
        <w:numPr>
          <w:ilvl w:val="0"/>
          <w:numId w:val="14"/>
        </w:numPr>
        <w:spacing w:before="0" w:after="0" w:line="240" w:lineRule="auto"/>
        <w:ind w:left="-142" w:hanging="425"/>
      </w:pPr>
      <w:r w:rsidRPr="00B50E6D">
        <w:t xml:space="preserve">The main purposes of the inspection of Initial Teacher Education </w:t>
      </w:r>
      <w:r w:rsidR="00B75332" w:rsidRPr="00B50E6D">
        <w:t xml:space="preserve">(ITE) </w:t>
      </w:r>
      <w:r w:rsidRPr="00B50E6D">
        <w:t>are:</w:t>
      </w:r>
    </w:p>
    <w:p w14:paraId="6784BC71" w14:textId="77777777" w:rsidR="005948A0" w:rsidRDefault="00DF7797" w:rsidP="0072387F">
      <w:pPr>
        <w:pStyle w:val="ListParagraph"/>
        <w:numPr>
          <w:ilvl w:val="0"/>
          <w:numId w:val="20"/>
        </w:numPr>
        <w:spacing w:before="0" w:after="0" w:line="240" w:lineRule="auto"/>
        <w:ind w:left="567" w:hanging="425"/>
      </w:pPr>
      <w:r w:rsidRPr="00B50E6D">
        <w:t>provide trainees and prospective trainees with an expert and independent assessment of how well an ITE partnership is performing and the quality of teacher training offered</w:t>
      </w:r>
      <w:r w:rsidR="001B13BF" w:rsidRPr="00B50E6D">
        <w:t>.</w:t>
      </w:r>
    </w:p>
    <w:p w14:paraId="7D531E47" w14:textId="77777777" w:rsidR="005948A0" w:rsidRDefault="00DF7797" w:rsidP="0072387F">
      <w:pPr>
        <w:pStyle w:val="ListParagraph"/>
        <w:numPr>
          <w:ilvl w:val="0"/>
          <w:numId w:val="20"/>
        </w:numPr>
        <w:spacing w:before="0" w:after="0" w:line="240" w:lineRule="auto"/>
        <w:ind w:left="567" w:hanging="425"/>
      </w:pPr>
      <w:r w:rsidRPr="00B50E6D">
        <w:t>provide information to the Secretary of State for Education and to Parliament about the work of ITE partnerships and the extent to which an acceptable standard of teach</w:t>
      </w:r>
      <w:r w:rsidR="008A4D52" w:rsidRPr="00B50E6D">
        <w:t>er training is being provided (t</w:t>
      </w:r>
      <w:r w:rsidRPr="00B50E6D">
        <w:t>his provides assurance that minimum standards are being met, provides confidence in the use of public money and assists accountability, as well as indicating where improvements are needed.)</w:t>
      </w:r>
      <w:r w:rsidR="001B13BF" w:rsidRPr="00B50E6D">
        <w:t>.</w:t>
      </w:r>
      <w:r w:rsidRPr="00B50E6D">
        <w:t xml:space="preserve"> </w:t>
      </w:r>
    </w:p>
    <w:p w14:paraId="4854AF4C" w14:textId="49813821" w:rsidR="00D90782" w:rsidRPr="00B50E6D" w:rsidRDefault="00DF7797" w:rsidP="0072387F">
      <w:pPr>
        <w:pStyle w:val="ListParagraph"/>
        <w:numPr>
          <w:ilvl w:val="0"/>
          <w:numId w:val="20"/>
        </w:numPr>
        <w:spacing w:before="0" w:after="0" w:line="240" w:lineRule="auto"/>
        <w:ind w:left="567" w:hanging="425"/>
      </w:pPr>
      <w:r w:rsidRPr="00B50E6D">
        <w:t>promote the improvement of individual ITE partnerships and the education system as a whole.</w:t>
      </w:r>
    </w:p>
    <w:p w14:paraId="6BDBF0E6" w14:textId="77777777" w:rsidR="00DB47CD" w:rsidRDefault="00DB47CD" w:rsidP="00580996">
      <w:pPr>
        <w:pStyle w:val="Heading3"/>
      </w:pPr>
    </w:p>
    <w:p w14:paraId="73D5DD55" w14:textId="47964B84" w:rsidR="00DF7797" w:rsidRPr="00B029A3" w:rsidRDefault="00DF7797" w:rsidP="00580996">
      <w:pPr>
        <w:pStyle w:val="Heading3"/>
      </w:pPr>
      <w:bookmarkStart w:id="16" w:name="_Toc172013892"/>
      <w:r w:rsidRPr="00B029A3">
        <w:t>Judging the Quality of ITE</w:t>
      </w:r>
      <w:bookmarkEnd w:id="16"/>
    </w:p>
    <w:p w14:paraId="7FB64382" w14:textId="1E3C9658" w:rsidR="00DF7797" w:rsidRPr="00B029A3" w:rsidRDefault="00DF7797" w:rsidP="0072387F">
      <w:pPr>
        <w:pStyle w:val="ListParagraph"/>
        <w:numPr>
          <w:ilvl w:val="0"/>
          <w:numId w:val="14"/>
        </w:numPr>
        <w:spacing w:before="0" w:after="0" w:line="240" w:lineRule="auto"/>
        <w:ind w:left="-142" w:hanging="425"/>
      </w:pPr>
      <w:r w:rsidRPr="00B029A3">
        <w:t>ITE inspection is primarily about evaluating how well trainees are trained to be good or better teachers.</w:t>
      </w:r>
    </w:p>
    <w:p w14:paraId="2605D9D4" w14:textId="77777777" w:rsidR="00DB47CD" w:rsidRDefault="00DB47CD" w:rsidP="00C2564E">
      <w:pPr>
        <w:pStyle w:val="ListParagraph"/>
        <w:spacing w:before="0" w:after="0" w:line="240" w:lineRule="auto"/>
      </w:pPr>
    </w:p>
    <w:p w14:paraId="0E48C88B" w14:textId="6FB5A19C" w:rsidR="00DF7797" w:rsidRPr="00B029A3" w:rsidRDefault="00DF7797" w:rsidP="009D5F40">
      <w:pPr>
        <w:pStyle w:val="ListParagraph"/>
        <w:numPr>
          <w:ilvl w:val="0"/>
          <w:numId w:val="14"/>
        </w:numPr>
        <w:spacing w:before="0" w:after="0" w:line="240" w:lineRule="auto"/>
        <w:ind w:left="-142" w:hanging="425"/>
      </w:pPr>
      <w:r w:rsidRPr="00B029A3">
        <w:lastRenderedPageBreak/>
        <w:t>To make this judgement, inspectors evaluate each of the three key judgements:</w:t>
      </w:r>
    </w:p>
    <w:p w14:paraId="194228C8" w14:textId="48BB7DEE" w:rsidR="00DF7797" w:rsidRPr="00DB47CD" w:rsidRDefault="00600747" w:rsidP="009D5F40">
      <w:pPr>
        <w:pStyle w:val="Bulletsspaced"/>
        <w:numPr>
          <w:ilvl w:val="0"/>
          <w:numId w:val="15"/>
        </w:numPr>
        <w:spacing w:before="0" w:after="0" w:line="240" w:lineRule="auto"/>
        <w:ind w:left="567" w:hanging="425"/>
        <w:rPr>
          <w:rFonts w:ascii="Arial" w:hAnsi="Arial" w:cs="Arial"/>
          <w:sz w:val="24"/>
          <w:szCs w:val="24"/>
        </w:rPr>
      </w:pPr>
      <w:r>
        <w:rPr>
          <w:rFonts w:ascii="Arial" w:hAnsi="Arial" w:cs="Arial"/>
          <w:sz w:val="24"/>
          <w:szCs w:val="24"/>
          <w:lang w:val="en-GB"/>
        </w:rPr>
        <w:t>Overall effectiveness</w:t>
      </w:r>
    </w:p>
    <w:p w14:paraId="1A23418C" w14:textId="751EE922" w:rsidR="00DF7797" w:rsidRPr="00DB47CD" w:rsidRDefault="00DF7797" w:rsidP="009D5F40">
      <w:pPr>
        <w:pStyle w:val="Bulletsspaced"/>
        <w:numPr>
          <w:ilvl w:val="0"/>
          <w:numId w:val="15"/>
        </w:numPr>
        <w:spacing w:before="0" w:after="0" w:line="240" w:lineRule="auto"/>
        <w:ind w:left="567" w:hanging="425"/>
        <w:rPr>
          <w:rFonts w:ascii="Arial" w:hAnsi="Arial" w:cs="Arial"/>
          <w:sz w:val="24"/>
          <w:szCs w:val="24"/>
        </w:rPr>
      </w:pPr>
      <w:r w:rsidRPr="00DB47CD">
        <w:rPr>
          <w:rFonts w:ascii="Arial" w:hAnsi="Arial" w:cs="Arial"/>
          <w:sz w:val="24"/>
          <w:szCs w:val="24"/>
        </w:rPr>
        <w:t>Quality of</w:t>
      </w:r>
      <w:r w:rsidR="004F0EA3">
        <w:rPr>
          <w:rFonts w:ascii="Arial" w:hAnsi="Arial" w:cs="Arial"/>
          <w:sz w:val="24"/>
          <w:szCs w:val="24"/>
          <w:lang w:val="en-GB"/>
        </w:rPr>
        <w:t xml:space="preserve"> education and</w:t>
      </w:r>
      <w:r w:rsidRPr="00DB47CD">
        <w:rPr>
          <w:rFonts w:ascii="Arial" w:hAnsi="Arial" w:cs="Arial"/>
          <w:sz w:val="24"/>
          <w:szCs w:val="24"/>
        </w:rPr>
        <w:t xml:space="preserve"> training across the partnership</w:t>
      </w:r>
    </w:p>
    <w:p w14:paraId="3D86FCEC" w14:textId="77777777" w:rsidR="002703AE" w:rsidRDefault="00DF7797" w:rsidP="009D5F40">
      <w:pPr>
        <w:pStyle w:val="Bulletsspaced"/>
        <w:numPr>
          <w:ilvl w:val="0"/>
          <w:numId w:val="15"/>
        </w:numPr>
        <w:spacing w:before="0" w:after="0" w:line="240" w:lineRule="auto"/>
        <w:ind w:left="567" w:hanging="425"/>
        <w:rPr>
          <w:rFonts w:ascii="Arial" w:hAnsi="Arial" w:cs="Arial"/>
          <w:sz w:val="24"/>
          <w:szCs w:val="24"/>
        </w:rPr>
      </w:pPr>
      <w:r w:rsidRPr="00DB47CD">
        <w:rPr>
          <w:rFonts w:ascii="Arial" w:hAnsi="Arial" w:cs="Arial"/>
          <w:sz w:val="24"/>
          <w:szCs w:val="24"/>
        </w:rPr>
        <w:t>Leadership and management of the partnership.</w:t>
      </w:r>
    </w:p>
    <w:p w14:paraId="20A318A0" w14:textId="420F80EA" w:rsidR="002703AE" w:rsidRPr="002703AE" w:rsidRDefault="003B411C" w:rsidP="002703AE">
      <w:pPr>
        <w:pStyle w:val="Bulletsspaced"/>
        <w:numPr>
          <w:ilvl w:val="0"/>
          <w:numId w:val="0"/>
        </w:numPr>
        <w:spacing w:before="0" w:after="0" w:line="240" w:lineRule="auto"/>
        <w:rPr>
          <w:rFonts w:ascii="Arial" w:hAnsi="Arial" w:cs="Arial"/>
          <w:sz w:val="24"/>
          <w:szCs w:val="24"/>
        </w:rPr>
      </w:pPr>
      <w:r>
        <w:t xml:space="preserve"> </w:t>
      </w:r>
    </w:p>
    <w:p w14:paraId="08C22382" w14:textId="050F0A09" w:rsidR="00C32D57" w:rsidRPr="00B029A3" w:rsidRDefault="00DF7797" w:rsidP="009D5F40">
      <w:pPr>
        <w:pStyle w:val="ListParagraph"/>
        <w:numPr>
          <w:ilvl w:val="0"/>
          <w:numId w:val="14"/>
        </w:numPr>
        <w:spacing w:before="0" w:after="0" w:line="240" w:lineRule="auto"/>
        <w:ind w:left="-142" w:hanging="425"/>
      </w:pPr>
      <w:r w:rsidRPr="00B029A3">
        <w:t xml:space="preserve">In judging the quality and effectiveness of the ITE partnership in securing consistently </w:t>
      </w:r>
      <w:r w:rsidR="00CF3AE2" w:rsidRPr="00B029A3">
        <w:t>high-quality</w:t>
      </w:r>
      <w:r w:rsidRPr="00B029A3">
        <w:t xml:space="preserve"> outcomes for trainees, inspectors will decide whether the ITE partnership is outstanding, good, requires improvement or is inadequate. Grades are awarded on a 4-point scale as follows:</w:t>
      </w:r>
    </w:p>
    <w:p w14:paraId="1AD8F8BD" w14:textId="77777777" w:rsidR="00DF7797" w:rsidRPr="00DB47CD" w:rsidRDefault="00DF7797" w:rsidP="009D5F40">
      <w:pPr>
        <w:pStyle w:val="Bulletsspaced"/>
        <w:numPr>
          <w:ilvl w:val="0"/>
          <w:numId w:val="15"/>
        </w:numPr>
        <w:spacing w:before="0" w:after="0" w:line="240" w:lineRule="auto"/>
        <w:ind w:left="567" w:hanging="425"/>
        <w:rPr>
          <w:rFonts w:ascii="Arial" w:hAnsi="Arial" w:cs="Arial"/>
          <w:sz w:val="24"/>
          <w:szCs w:val="24"/>
        </w:rPr>
      </w:pPr>
      <w:r w:rsidRPr="00DB47CD">
        <w:rPr>
          <w:rFonts w:ascii="Arial" w:hAnsi="Arial" w:cs="Arial"/>
          <w:sz w:val="24"/>
          <w:szCs w:val="24"/>
        </w:rPr>
        <w:t>Grade 1: outstanding</w:t>
      </w:r>
    </w:p>
    <w:p w14:paraId="10CB1B38" w14:textId="77777777" w:rsidR="00DF7797" w:rsidRPr="00DB47CD" w:rsidRDefault="00DF7797" w:rsidP="009D5F40">
      <w:pPr>
        <w:pStyle w:val="Bulletsspaced"/>
        <w:numPr>
          <w:ilvl w:val="0"/>
          <w:numId w:val="15"/>
        </w:numPr>
        <w:spacing w:before="0" w:after="0" w:line="240" w:lineRule="auto"/>
        <w:ind w:left="567" w:hanging="425"/>
        <w:rPr>
          <w:rFonts w:ascii="Arial" w:hAnsi="Arial" w:cs="Arial"/>
          <w:sz w:val="24"/>
          <w:szCs w:val="24"/>
        </w:rPr>
      </w:pPr>
      <w:r w:rsidRPr="00DB47CD">
        <w:rPr>
          <w:rFonts w:ascii="Arial" w:hAnsi="Arial" w:cs="Arial"/>
          <w:sz w:val="24"/>
          <w:szCs w:val="24"/>
        </w:rPr>
        <w:t>Grade 2: good</w:t>
      </w:r>
    </w:p>
    <w:p w14:paraId="5ADFDB6E" w14:textId="77777777" w:rsidR="00DF7797" w:rsidRPr="00DB47CD" w:rsidRDefault="00DF7797" w:rsidP="009D5F40">
      <w:pPr>
        <w:pStyle w:val="Bulletsspaced"/>
        <w:numPr>
          <w:ilvl w:val="0"/>
          <w:numId w:val="15"/>
        </w:numPr>
        <w:spacing w:before="0" w:after="0" w:line="240" w:lineRule="auto"/>
        <w:ind w:left="567" w:hanging="425"/>
        <w:rPr>
          <w:rFonts w:ascii="Arial" w:hAnsi="Arial" w:cs="Arial"/>
          <w:sz w:val="24"/>
          <w:szCs w:val="24"/>
        </w:rPr>
      </w:pPr>
      <w:r w:rsidRPr="00DB47CD">
        <w:rPr>
          <w:rFonts w:ascii="Arial" w:hAnsi="Arial" w:cs="Arial"/>
          <w:sz w:val="24"/>
          <w:szCs w:val="24"/>
        </w:rPr>
        <w:t>Grade 3: requires improvement</w:t>
      </w:r>
    </w:p>
    <w:p w14:paraId="53E8F260" w14:textId="1CC1E926" w:rsidR="00D90782" w:rsidRPr="00DB47CD" w:rsidRDefault="00DF7797" w:rsidP="009D5F40">
      <w:pPr>
        <w:pStyle w:val="Bulletsspaced"/>
        <w:numPr>
          <w:ilvl w:val="0"/>
          <w:numId w:val="15"/>
        </w:numPr>
        <w:spacing w:before="0" w:after="0" w:line="240" w:lineRule="auto"/>
        <w:ind w:left="567" w:hanging="425"/>
        <w:rPr>
          <w:rFonts w:ascii="Arial" w:hAnsi="Arial" w:cs="Arial"/>
          <w:sz w:val="24"/>
          <w:szCs w:val="24"/>
        </w:rPr>
      </w:pPr>
      <w:r w:rsidRPr="00DB47CD">
        <w:rPr>
          <w:rFonts w:ascii="Arial" w:hAnsi="Arial" w:cs="Arial"/>
          <w:sz w:val="24"/>
          <w:szCs w:val="24"/>
        </w:rPr>
        <w:t>Grade 4: inadequate</w:t>
      </w:r>
    </w:p>
    <w:p w14:paraId="69071193" w14:textId="77777777" w:rsidR="00DB47CD" w:rsidRDefault="00DB47CD" w:rsidP="00DB47CD">
      <w:pPr>
        <w:pStyle w:val="ListParagraph"/>
        <w:spacing w:before="0" w:after="0" w:line="240" w:lineRule="auto"/>
      </w:pPr>
    </w:p>
    <w:p w14:paraId="3F93DCC3" w14:textId="77777777" w:rsidR="00C2564E" w:rsidRDefault="00DF7797" w:rsidP="009D5F40">
      <w:pPr>
        <w:pStyle w:val="ListParagraph"/>
        <w:numPr>
          <w:ilvl w:val="0"/>
          <w:numId w:val="14"/>
        </w:numPr>
        <w:spacing w:before="0" w:after="0" w:line="240" w:lineRule="auto"/>
        <w:ind w:left="-142" w:hanging="425"/>
      </w:pPr>
      <w:r w:rsidRPr="00B029A3">
        <w:t>Where provision is found to be inadequate or non-compliant with the Government’s requirements for ITE, decisions about further inspection or monitoring activity will be taken in conjunction with the relevant government department and/or funding agency.</w:t>
      </w:r>
    </w:p>
    <w:p w14:paraId="71ECA9BD" w14:textId="77777777" w:rsidR="00C2564E" w:rsidRDefault="00C2564E" w:rsidP="00C2564E">
      <w:pPr>
        <w:pStyle w:val="ListParagraph"/>
        <w:spacing w:before="0" w:after="0" w:line="240" w:lineRule="auto"/>
      </w:pPr>
    </w:p>
    <w:p w14:paraId="26031B47" w14:textId="26890760" w:rsidR="00DF7797" w:rsidRPr="00E14651" w:rsidRDefault="00DF7797" w:rsidP="009D5F40">
      <w:pPr>
        <w:pStyle w:val="ListParagraph"/>
        <w:numPr>
          <w:ilvl w:val="0"/>
          <w:numId w:val="14"/>
        </w:numPr>
        <w:spacing w:before="0" w:after="0" w:line="240" w:lineRule="auto"/>
        <w:ind w:left="-142" w:hanging="425"/>
      </w:pPr>
      <w:r w:rsidRPr="00B029A3">
        <w:t xml:space="preserve">Further details on the assessment process, including detailed assessment criteria, can be found on the </w:t>
      </w:r>
      <w:hyperlink r:id="rId19" w:history="1">
        <w:r w:rsidRPr="00C2564E">
          <w:rPr>
            <w:rStyle w:val="Hyperlink"/>
            <w:rFonts w:cs="Arial"/>
            <w:color w:val="000000" w:themeColor="text1"/>
          </w:rPr>
          <w:t>OFSTED website</w:t>
        </w:r>
      </w:hyperlink>
    </w:p>
    <w:p w14:paraId="7B55934A" w14:textId="77777777" w:rsidR="00DB47CD" w:rsidRDefault="00DB47CD" w:rsidP="00580996">
      <w:pPr>
        <w:pStyle w:val="Heading3"/>
      </w:pPr>
    </w:p>
    <w:p w14:paraId="603A3E52" w14:textId="38A70AC9" w:rsidR="000463CB" w:rsidRPr="00B029A3" w:rsidRDefault="000463CB" w:rsidP="00580996">
      <w:pPr>
        <w:pStyle w:val="Heading3"/>
      </w:pPr>
      <w:bookmarkStart w:id="17" w:name="_Toc172013893"/>
      <w:r w:rsidRPr="00B029A3">
        <w:t>The Reporting Process</w:t>
      </w:r>
      <w:bookmarkEnd w:id="17"/>
    </w:p>
    <w:p w14:paraId="7E8350F3" w14:textId="27AB9548" w:rsidR="00DF7797" w:rsidRPr="00B029A3" w:rsidRDefault="00DF7797" w:rsidP="009D5F40">
      <w:pPr>
        <w:pStyle w:val="ListParagraph"/>
        <w:numPr>
          <w:ilvl w:val="0"/>
          <w:numId w:val="14"/>
        </w:numPr>
        <w:spacing w:before="0" w:after="0" w:line="240" w:lineRule="auto"/>
        <w:ind w:left="-142" w:hanging="425"/>
      </w:pPr>
      <w:r w:rsidRPr="00B029A3">
        <w:t xml:space="preserve">A draft report of the inspection is sent to the institution to check matters of accuracy.  Once </w:t>
      </w:r>
      <w:proofErr w:type="spellStart"/>
      <w:r w:rsidRPr="00B029A3">
        <w:t>finalised</w:t>
      </w:r>
      <w:proofErr w:type="spellEnd"/>
      <w:r w:rsidRPr="00B029A3">
        <w:t xml:space="preserve">, the inspection report is published on the </w:t>
      </w:r>
      <w:hyperlink r:id="rId20" w:history="1">
        <w:r w:rsidRPr="00C2564E">
          <w:rPr>
            <w:rStyle w:val="Hyperlink"/>
            <w:rFonts w:cs="Arial"/>
            <w:color w:val="000000" w:themeColor="text1"/>
          </w:rPr>
          <w:t>OFSTED website</w:t>
        </w:r>
      </w:hyperlink>
      <w:r w:rsidRPr="00B029A3">
        <w:t>.</w:t>
      </w:r>
    </w:p>
    <w:p w14:paraId="33BBC8BA" w14:textId="77777777" w:rsidR="00DB47CD" w:rsidRDefault="00DB47CD" w:rsidP="00DB47CD">
      <w:pPr>
        <w:pStyle w:val="ListParagraph"/>
        <w:spacing w:before="0" w:after="0" w:line="240" w:lineRule="auto"/>
      </w:pPr>
    </w:p>
    <w:p w14:paraId="48015D8D" w14:textId="1D0068A8" w:rsidR="00DF7797" w:rsidRPr="00120BE7" w:rsidRDefault="00DF7797" w:rsidP="0054548E">
      <w:pPr>
        <w:pStyle w:val="ListParagraph"/>
        <w:numPr>
          <w:ilvl w:val="0"/>
          <w:numId w:val="14"/>
        </w:numPr>
        <w:spacing w:before="0" w:after="0" w:line="240" w:lineRule="auto"/>
        <w:ind w:left="-142" w:hanging="425"/>
      </w:pPr>
      <w:r w:rsidRPr="00B029A3">
        <w:t xml:space="preserve">Following the visit and receipt of the report from OFSTED, the report is considered by </w:t>
      </w:r>
      <w:r w:rsidR="007E6A72" w:rsidRPr="00B029A3">
        <w:t xml:space="preserve">the Education </w:t>
      </w:r>
      <w:r w:rsidR="00FE53F7" w:rsidRPr="00B029A3">
        <w:t>Committee</w:t>
      </w:r>
      <w:r w:rsidRPr="00B029A3">
        <w:t xml:space="preserve">.  </w:t>
      </w:r>
      <w:r w:rsidR="008A4D52" w:rsidRPr="00B029A3">
        <w:t>T</w:t>
      </w:r>
      <w:r w:rsidR="007E6A72" w:rsidRPr="00B029A3">
        <w:t xml:space="preserve">he Education </w:t>
      </w:r>
      <w:r w:rsidR="00FE53F7" w:rsidRPr="00B029A3">
        <w:t>Committee</w:t>
      </w:r>
      <w:r w:rsidR="007E6A72" w:rsidRPr="00B029A3">
        <w:t xml:space="preserve"> </w:t>
      </w:r>
      <w:r w:rsidRPr="00B029A3">
        <w:t xml:space="preserve">also approves the action plan prepared by the relevant course team which should address all the issues raised in the report.  </w:t>
      </w:r>
    </w:p>
    <w:p w14:paraId="7CD7B1ED" w14:textId="77777777" w:rsidR="00DB47CD" w:rsidRDefault="00DB47CD" w:rsidP="002336C1">
      <w:pPr>
        <w:pStyle w:val="Heading2"/>
        <w:rPr>
          <w:lang w:val="en-GB"/>
        </w:rPr>
      </w:pPr>
    </w:p>
    <w:p w14:paraId="71BD3074" w14:textId="46105D4A" w:rsidR="00DF7797" w:rsidRPr="00120BE7" w:rsidRDefault="00137279" w:rsidP="0054548E">
      <w:pPr>
        <w:pStyle w:val="Heading2"/>
        <w:ind w:hanging="567"/>
        <w:rPr>
          <w:lang w:val="en-GB"/>
        </w:rPr>
      </w:pPr>
      <w:bookmarkStart w:id="18" w:name="_Toc172013894"/>
      <w:r w:rsidRPr="00B029A3">
        <w:rPr>
          <w:lang w:val="en-GB"/>
        </w:rPr>
        <w:t>Procedures relating to BTEC</w:t>
      </w:r>
      <w:r w:rsidR="00DF7797" w:rsidRPr="00B029A3">
        <w:rPr>
          <w:lang w:val="en-GB"/>
        </w:rPr>
        <w:t xml:space="preserve"> fields/courses</w:t>
      </w:r>
      <w:bookmarkEnd w:id="18"/>
    </w:p>
    <w:p w14:paraId="00BEEFA7" w14:textId="77777777" w:rsidR="00DB47CD" w:rsidRDefault="00DB47CD" w:rsidP="00580996">
      <w:pPr>
        <w:pStyle w:val="Heading3"/>
      </w:pPr>
    </w:p>
    <w:p w14:paraId="01F8C0AA" w14:textId="79D1CD53" w:rsidR="00DF7797" w:rsidRPr="00B029A3" w:rsidRDefault="00137279" w:rsidP="00580996">
      <w:pPr>
        <w:pStyle w:val="Heading3"/>
      </w:pPr>
      <w:bookmarkStart w:id="19" w:name="_Toc172013895"/>
      <w:r w:rsidRPr="00B029A3">
        <w:t>Pearson</w:t>
      </w:r>
      <w:r w:rsidR="00DF7797" w:rsidRPr="00B029A3">
        <w:t xml:space="preserve"> Licence Agreement</w:t>
      </w:r>
      <w:bookmarkEnd w:id="19"/>
    </w:p>
    <w:p w14:paraId="32D321E9" w14:textId="4BDFE017" w:rsidR="00C2564E" w:rsidRDefault="00137279" w:rsidP="0054548E">
      <w:pPr>
        <w:pStyle w:val="ListParagraph"/>
        <w:numPr>
          <w:ilvl w:val="0"/>
          <w:numId w:val="14"/>
        </w:numPr>
        <w:spacing w:before="0" w:after="0" w:line="240" w:lineRule="auto"/>
        <w:ind w:left="-142" w:hanging="425"/>
      </w:pPr>
      <w:r w:rsidRPr="00B029A3">
        <w:t xml:space="preserve">The Pearson </w:t>
      </w:r>
      <w:proofErr w:type="spellStart"/>
      <w:r w:rsidRPr="00B029A3">
        <w:t>Licence</w:t>
      </w:r>
      <w:proofErr w:type="spellEnd"/>
      <w:r w:rsidRPr="00B029A3">
        <w:t xml:space="preserve"> Agreement enables Higher Education Institutions (HEIs) in the United Kingdom to deliver and award Higher National Diplomas and Certificates.</w:t>
      </w:r>
      <w:r w:rsidR="0057361F">
        <w:t xml:space="preserve"> </w:t>
      </w:r>
      <w:r w:rsidR="009A5F92" w:rsidRPr="00B029A3">
        <w:t>S</w:t>
      </w:r>
      <w:r w:rsidR="00DF7797" w:rsidRPr="00B029A3">
        <w:t xml:space="preserve">ee the </w:t>
      </w:r>
      <w:hyperlink r:id="rId21" w:history="1">
        <w:r w:rsidR="005A6F22" w:rsidRPr="0057361F">
          <w:rPr>
            <w:rStyle w:val="Hyperlink"/>
            <w:rFonts w:cs="Arial"/>
            <w:color w:val="000000" w:themeColor="text1"/>
          </w:rPr>
          <w:t>Pearson website</w:t>
        </w:r>
      </w:hyperlink>
      <w:r w:rsidR="005A6F22" w:rsidRPr="00B029A3">
        <w:t xml:space="preserve"> </w:t>
      </w:r>
      <w:r w:rsidR="00DF7797" w:rsidRPr="00B029A3">
        <w:t xml:space="preserve">for more details. </w:t>
      </w:r>
    </w:p>
    <w:p w14:paraId="720D1BEE" w14:textId="77777777" w:rsidR="00C2564E" w:rsidRDefault="00C2564E" w:rsidP="00C2564E">
      <w:pPr>
        <w:pStyle w:val="ListParagraph"/>
        <w:spacing w:before="0" w:after="0" w:line="240" w:lineRule="auto"/>
      </w:pPr>
    </w:p>
    <w:p w14:paraId="2C22B647" w14:textId="0F834FC1" w:rsidR="00C2564E" w:rsidRDefault="00DF7797" w:rsidP="0054548E">
      <w:pPr>
        <w:pStyle w:val="ListParagraph"/>
        <w:numPr>
          <w:ilvl w:val="0"/>
          <w:numId w:val="14"/>
        </w:numPr>
        <w:spacing w:before="0" w:after="0" w:line="240" w:lineRule="auto"/>
        <w:ind w:left="-142" w:hanging="425"/>
      </w:pPr>
      <w:r w:rsidRPr="00B029A3">
        <w:t xml:space="preserve">The </w:t>
      </w:r>
      <w:r w:rsidR="00191998" w:rsidRPr="00B029A3">
        <w:t xml:space="preserve">University will provide Higher Nationals, </w:t>
      </w:r>
      <w:r w:rsidR="00FC56B1" w:rsidRPr="00B029A3">
        <w:t xml:space="preserve">in accordance with the </w:t>
      </w:r>
      <w:r w:rsidR="0057361F">
        <w:t xml:space="preserve">Sector </w:t>
      </w:r>
      <w:proofErr w:type="spellStart"/>
      <w:r w:rsidR="0057361F">
        <w:t>Recognised</w:t>
      </w:r>
      <w:proofErr w:type="spellEnd"/>
      <w:r w:rsidR="0057361F">
        <w:t xml:space="preserve"> </w:t>
      </w:r>
      <w:r w:rsidR="005B432F">
        <w:t>Statements</w:t>
      </w:r>
      <w:r w:rsidR="00FC56B1" w:rsidRPr="00B029A3">
        <w:t xml:space="preserve">, </w:t>
      </w:r>
      <w:r w:rsidR="00191998" w:rsidRPr="00B029A3">
        <w:t>and Pearson guidance</w:t>
      </w:r>
      <w:r w:rsidRPr="00B029A3">
        <w:t xml:space="preserve">. </w:t>
      </w:r>
    </w:p>
    <w:p w14:paraId="153C44FB" w14:textId="77777777" w:rsidR="00C2564E" w:rsidRDefault="00C2564E" w:rsidP="00C2564E">
      <w:pPr>
        <w:pStyle w:val="ListParagraph"/>
        <w:spacing w:before="0" w:after="0" w:line="240" w:lineRule="auto"/>
      </w:pPr>
    </w:p>
    <w:p w14:paraId="032D4DE1" w14:textId="4DD59184" w:rsidR="00E413D9" w:rsidRPr="00120BE7" w:rsidRDefault="00DF7797" w:rsidP="0054548E">
      <w:pPr>
        <w:pStyle w:val="ListParagraph"/>
        <w:numPr>
          <w:ilvl w:val="0"/>
          <w:numId w:val="14"/>
        </w:numPr>
        <w:spacing w:before="0" w:after="0" w:line="240" w:lineRule="auto"/>
        <w:ind w:left="-142" w:hanging="425"/>
      </w:pPr>
      <w:r w:rsidRPr="00B029A3">
        <w:t xml:space="preserve">Under the </w:t>
      </w:r>
      <w:proofErr w:type="spellStart"/>
      <w:r w:rsidRPr="00B029A3">
        <w:t>Licence</w:t>
      </w:r>
      <w:proofErr w:type="spellEnd"/>
      <w:r w:rsidRPr="00B029A3">
        <w:t xml:space="preserve"> Agreement the University is </w:t>
      </w:r>
      <w:proofErr w:type="spellStart"/>
      <w:r w:rsidRPr="00B029A3">
        <w:t>authorised</w:t>
      </w:r>
      <w:proofErr w:type="spellEnd"/>
      <w:r w:rsidRPr="00B029A3">
        <w:t xml:space="preserve"> to validate Higher Nationals using </w:t>
      </w:r>
      <w:proofErr w:type="spellStart"/>
      <w:r w:rsidRPr="00B029A3">
        <w:t>centre</w:t>
      </w:r>
      <w:proofErr w:type="spellEnd"/>
      <w:r w:rsidRPr="00B029A3">
        <w:t xml:space="preserve">-devised titles and units. </w:t>
      </w:r>
      <w:r w:rsidR="00EA0C0C" w:rsidRPr="00B029A3">
        <w:t xml:space="preserve"> Where a BTEC Higher National exists with a closely related title and/or content, the </w:t>
      </w:r>
      <w:proofErr w:type="spellStart"/>
      <w:r w:rsidR="00EA0C0C" w:rsidRPr="00B029A3">
        <w:t>centre</w:t>
      </w:r>
      <w:proofErr w:type="spellEnd"/>
      <w:r w:rsidR="00EA0C0C" w:rsidRPr="00B029A3">
        <w:t xml:space="preserve">-devised </w:t>
      </w:r>
      <w:proofErr w:type="spellStart"/>
      <w:r w:rsidR="00EA0C0C" w:rsidRPr="00B029A3">
        <w:t>programme</w:t>
      </w:r>
      <w:proofErr w:type="spellEnd"/>
      <w:r w:rsidR="00EA0C0C" w:rsidRPr="00B029A3">
        <w:t xml:space="preserve"> must cover the same core content as in the equivalent BTEC Higher National </w:t>
      </w:r>
      <w:proofErr w:type="spellStart"/>
      <w:r w:rsidR="00EA0C0C" w:rsidRPr="00B029A3">
        <w:t>programme</w:t>
      </w:r>
      <w:proofErr w:type="spellEnd"/>
      <w:r w:rsidR="00EA0C0C" w:rsidRPr="00B029A3">
        <w:t>.</w:t>
      </w:r>
    </w:p>
    <w:p w14:paraId="3C8E0E05" w14:textId="77777777" w:rsidR="00DB47CD" w:rsidRDefault="00DB47CD" w:rsidP="00580996">
      <w:pPr>
        <w:pStyle w:val="Heading3"/>
      </w:pPr>
    </w:p>
    <w:p w14:paraId="6F80BF11" w14:textId="2D0F3C6E" w:rsidR="005C155A" w:rsidRPr="00B029A3" w:rsidRDefault="00DF7797" w:rsidP="00580996">
      <w:pPr>
        <w:pStyle w:val="Heading3"/>
      </w:pPr>
      <w:bookmarkStart w:id="20" w:name="_Toc172013896"/>
      <w:r w:rsidRPr="00B029A3">
        <w:t>Validation/</w:t>
      </w:r>
      <w:r w:rsidR="00BC607D">
        <w:t>Substantive Review</w:t>
      </w:r>
      <w:bookmarkEnd w:id="20"/>
      <w:r w:rsidRPr="00B029A3">
        <w:t xml:space="preserve"> </w:t>
      </w:r>
    </w:p>
    <w:p w14:paraId="573DBE05" w14:textId="083416BB" w:rsidR="00531D96" w:rsidRPr="00B029A3" w:rsidRDefault="00DF7797" w:rsidP="0054548E">
      <w:pPr>
        <w:pStyle w:val="ListParagraph"/>
        <w:numPr>
          <w:ilvl w:val="0"/>
          <w:numId w:val="14"/>
        </w:numPr>
        <w:spacing w:before="0" w:after="0" w:line="240" w:lineRule="auto"/>
        <w:ind w:left="-142" w:hanging="425"/>
      </w:pPr>
      <w:r w:rsidRPr="00B029A3">
        <w:t xml:space="preserve">Following validation of a </w:t>
      </w:r>
      <w:r w:rsidR="005C006F" w:rsidRPr="00B029A3">
        <w:t xml:space="preserve">new </w:t>
      </w:r>
      <w:r w:rsidR="00DE29C8" w:rsidRPr="00B029A3">
        <w:t xml:space="preserve">BTEC </w:t>
      </w:r>
      <w:r w:rsidR="00CE3ACE" w:rsidRPr="00B029A3">
        <w:t>Higher National, the University</w:t>
      </w:r>
      <w:r w:rsidRPr="00B029A3">
        <w:t xml:space="preserve"> is required to </w:t>
      </w:r>
      <w:r w:rsidR="005C0A17" w:rsidRPr="00B029A3">
        <w:lastRenderedPageBreak/>
        <w:t xml:space="preserve">provide Pearson with validation details and a copy of the </w:t>
      </w:r>
      <w:proofErr w:type="spellStart"/>
      <w:r w:rsidR="005C0A17" w:rsidRPr="00B029A3">
        <w:t>programme</w:t>
      </w:r>
      <w:proofErr w:type="spellEnd"/>
      <w:r w:rsidR="005C0A17" w:rsidRPr="00B029A3">
        <w:t xml:space="preserve"> specification.</w:t>
      </w:r>
      <w:r w:rsidR="00191998" w:rsidRPr="00B029A3">
        <w:t xml:space="preserve">  </w:t>
      </w:r>
      <w:r w:rsidR="00332DB4" w:rsidRPr="00B029A3">
        <w:t xml:space="preserve">Pearson will review the new </w:t>
      </w:r>
      <w:proofErr w:type="spellStart"/>
      <w:r w:rsidR="00332DB4" w:rsidRPr="00B029A3">
        <w:t>programme</w:t>
      </w:r>
      <w:proofErr w:type="spellEnd"/>
      <w:r w:rsidR="00332DB4" w:rsidRPr="00B029A3">
        <w:t xml:space="preserve"> specification and issue a </w:t>
      </w:r>
      <w:proofErr w:type="spellStart"/>
      <w:r w:rsidR="00332DB4" w:rsidRPr="00B029A3">
        <w:t>programme</w:t>
      </w:r>
      <w:proofErr w:type="spellEnd"/>
      <w:r w:rsidR="00332DB4" w:rsidRPr="00B029A3">
        <w:t xml:space="preserve"> code for the qualification</w:t>
      </w:r>
      <w:r w:rsidR="00307F03" w:rsidRPr="00B029A3">
        <w:t xml:space="preserve">.  </w:t>
      </w:r>
      <w:r w:rsidR="00332DB4" w:rsidRPr="00B029A3">
        <w:t xml:space="preserve">Unless informed otherwise, Pearson will record the validation period as five years, by default. </w:t>
      </w:r>
    </w:p>
    <w:p w14:paraId="50B73CB2" w14:textId="77777777" w:rsidR="00DB47CD" w:rsidRDefault="00DB47CD" w:rsidP="00C2564E">
      <w:pPr>
        <w:pStyle w:val="ListParagraph"/>
        <w:spacing w:before="0" w:after="0" w:line="240" w:lineRule="auto"/>
      </w:pPr>
    </w:p>
    <w:p w14:paraId="4D5E413E" w14:textId="30BCA94A" w:rsidR="004254E6" w:rsidRPr="00120BE7" w:rsidRDefault="00DF7797" w:rsidP="0054548E">
      <w:pPr>
        <w:pStyle w:val="ListParagraph"/>
        <w:numPr>
          <w:ilvl w:val="0"/>
          <w:numId w:val="14"/>
        </w:numPr>
        <w:spacing w:before="0" w:after="0" w:line="240" w:lineRule="auto"/>
        <w:ind w:left="-142" w:hanging="425"/>
      </w:pPr>
      <w:r w:rsidRPr="00B029A3">
        <w:t xml:space="preserve">Following </w:t>
      </w:r>
      <w:r w:rsidR="00BC607D">
        <w:t>the Substantive Review</w:t>
      </w:r>
      <w:r w:rsidRPr="00B029A3">
        <w:t xml:space="preserve">, outcomes from the </w:t>
      </w:r>
      <w:r w:rsidR="00BC607D">
        <w:t>Substantive Review</w:t>
      </w:r>
      <w:r w:rsidRPr="00B029A3">
        <w:t xml:space="preserve"> report will inform the IRR submission made annua</w:t>
      </w:r>
      <w:r w:rsidR="00332DB4" w:rsidRPr="00B029A3">
        <w:t>lly by the University to Pearson</w:t>
      </w:r>
      <w:r w:rsidRPr="00B029A3">
        <w:t xml:space="preserve">. </w:t>
      </w:r>
      <w:r w:rsidR="00332DB4" w:rsidRPr="00B029A3">
        <w:t xml:space="preserve"> The revised </w:t>
      </w:r>
      <w:proofErr w:type="spellStart"/>
      <w:r w:rsidR="00332DB4" w:rsidRPr="00B029A3">
        <w:t>programme</w:t>
      </w:r>
      <w:proofErr w:type="spellEnd"/>
      <w:r w:rsidR="00332DB4" w:rsidRPr="00B029A3">
        <w:t xml:space="preserve"> specification will also be </w:t>
      </w:r>
      <w:r w:rsidR="00C21C89" w:rsidRPr="00B029A3">
        <w:t xml:space="preserve">sent to </w:t>
      </w:r>
      <w:r w:rsidR="00332DB4" w:rsidRPr="00B029A3">
        <w:t xml:space="preserve">Pearson </w:t>
      </w:r>
      <w:r w:rsidR="00C21C89" w:rsidRPr="00B029A3">
        <w:t xml:space="preserve">for </w:t>
      </w:r>
      <w:r w:rsidR="00332DB4" w:rsidRPr="00B029A3">
        <w:t xml:space="preserve">review and if appropriate, </w:t>
      </w:r>
      <w:r w:rsidR="00C21C89" w:rsidRPr="00B029A3">
        <w:t xml:space="preserve">Pearson will </w:t>
      </w:r>
      <w:r w:rsidR="00332DB4" w:rsidRPr="00B029A3">
        <w:t xml:space="preserve">issue a new </w:t>
      </w:r>
      <w:proofErr w:type="spellStart"/>
      <w:r w:rsidR="00332DB4" w:rsidRPr="00B029A3">
        <w:t>programme</w:t>
      </w:r>
      <w:proofErr w:type="spellEnd"/>
      <w:r w:rsidR="00332DB4" w:rsidRPr="00B029A3">
        <w:t xml:space="preserve"> code for the qualification.</w:t>
      </w:r>
    </w:p>
    <w:p w14:paraId="423948A5" w14:textId="77777777" w:rsidR="00DB47CD" w:rsidRDefault="00DB47CD" w:rsidP="00580996">
      <w:pPr>
        <w:pStyle w:val="Heading3"/>
      </w:pPr>
    </w:p>
    <w:p w14:paraId="33F9C26A" w14:textId="20A05713" w:rsidR="00DF7797" w:rsidRPr="00B029A3" w:rsidRDefault="00DF7797" w:rsidP="00580996">
      <w:pPr>
        <w:pStyle w:val="Heading3"/>
      </w:pPr>
      <w:bookmarkStart w:id="21" w:name="_Toc172013897"/>
      <w:r w:rsidRPr="00B029A3">
        <w:t>Collaborative Arrangements</w:t>
      </w:r>
      <w:bookmarkEnd w:id="21"/>
      <w:r w:rsidRPr="00B029A3">
        <w:t xml:space="preserve"> </w:t>
      </w:r>
    </w:p>
    <w:p w14:paraId="55A5A6BF" w14:textId="147FCD9B" w:rsidR="00C2564E" w:rsidRDefault="008C4F5A" w:rsidP="0054548E">
      <w:pPr>
        <w:pStyle w:val="ListParagraph"/>
        <w:numPr>
          <w:ilvl w:val="0"/>
          <w:numId w:val="14"/>
        </w:numPr>
        <w:spacing w:before="0" w:after="0" w:line="240" w:lineRule="auto"/>
        <w:ind w:left="-142" w:hanging="425"/>
      </w:pPr>
      <w:r w:rsidRPr="00B029A3">
        <w:t xml:space="preserve">As part of the </w:t>
      </w:r>
      <w:proofErr w:type="spellStart"/>
      <w:r w:rsidRPr="00B029A3">
        <w:t>licence</w:t>
      </w:r>
      <w:proofErr w:type="spellEnd"/>
      <w:r w:rsidRPr="00B029A3">
        <w:t xml:space="preserve"> agreement with Pearson, </w:t>
      </w:r>
      <w:r w:rsidR="00CE3ACE" w:rsidRPr="00B029A3">
        <w:t>the University</w:t>
      </w:r>
      <w:r w:rsidRPr="00B029A3">
        <w:t xml:space="preserve"> can deliver Higher Nationals in partnership with other delivery sites such as FE </w:t>
      </w:r>
      <w:r w:rsidR="00E07D4C" w:rsidRPr="00B029A3">
        <w:t>Colleges.</w:t>
      </w:r>
    </w:p>
    <w:p w14:paraId="04583DA7" w14:textId="77777777" w:rsidR="00C2564E" w:rsidRDefault="00C2564E" w:rsidP="00C2564E">
      <w:pPr>
        <w:pStyle w:val="ListParagraph"/>
        <w:spacing w:before="0" w:after="0" w:line="240" w:lineRule="auto"/>
      </w:pPr>
    </w:p>
    <w:p w14:paraId="6561ECCA" w14:textId="39F0C489" w:rsidR="00DF7797" w:rsidRPr="00120BE7" w:rsidRDefault="00CE3ACE" w:rsidP="0054548E">
      <w:pPr>
        <w:pStyle w:val="ListParagraph"/>
        <w:numPr>
          <w:ilvl w:val="0"/>
          <w:numId w:val="14"/>
        </w:numPr>
        <w:spacing w:before="0" w:after="0" w:line="240" w:lineRule="auto"/>
        <w:ind w:left="-142" w:hanging="425"/>
      </w:pPr>
      <w:r w:rsidRPr="00B029A3">
        <w:t>If the University</w:t>
      </w:r>
      <w:r w:rsidR="008C4F5A" w:rsidRPr="00B029A3">
        <w:t xml:space="preserve"> wishes to partner with delivery sites based overseas, Pearson’s policy for ‘</w:t>
      </w:r>
      <w:proofErr w:type="spellStart"/>
      <w:r w:rsidR="008C4F5A" w:rsidRPr="00B029A3">
        <w:t>Centres</w:t>
      </w:r>
      <w:proofErr w:type="spellEnd"/>
      <w:r w:rsidR="008C4F5A" w:rsidRPr="00B029A3">
        <w:t xml:space="preserve"> Operating across International Borders</w:t>
      </w:r>
      <w:r w:rsidR="00B556D4" w:rsidRPr="00B029A3">
        <w:t xml:space="preserve"> must be adhered to</w:t>
      </w:r>
      <w:r w:rsidR="00B76353">
        <w:t xml:space="preserve"> </w:t>
      </w:r>
      <w:r w:rsidR="008C4F5A" w:rsidRPr="00B029A3">
        <w:t>when offering BTEC and Other Pearson Vocational Qualifications’</w:t>
      </w:r>
      <w:r w:rsidR="00307F03" w:rsidRPr="00B029A3">
        <w:t xml:space="preserve">.  </w:t>
      </w:r>
      <w:proofErr w:type="spellStart"/>
      <w:r w:rsidR="008C4F5A" w:rsidRPr="00B029A3">
        <w:t>Centres</w:t>
      </w:r>
      <w:proofErr w:type="spellEnd"/>
      <w:r w:rsidR="008C4F5A" w:rsidRPr="00B029A3">
        <w:t xml:space="preserve"> operating under </w:t>
      </w:r>
      <w:proofErr w:type="spellStart"/>
      <w:r w:rsidR="008C4F5A" w:rsidRPr="00B029A3">
        <w:t>licence</w:t>
      </w:r>
      <w:proofErr w:type="spellEnd"/>
      <w:r w:rsidR="008C4F5A" w:rsidRPr="00B029A3">
        <w:t xml:space="preserve"> are defined as Model 3 in this policy</w:t>
      </w:r>
      <w:r w:rsidR="00307F03" w:rsidRPr="00B029A3">
        <w:t xml:space="preserve">.  </w:t>
      </w:r>
      <w:r w:rsidR="008C4F5A" w:rsidRPr="00B029A3">
        <w:t xml:space="preserve">Please see the </w:t>
      </w:r>
      <w:r w:rsidR="00F16134" w:rsidRPr="00B029A3">
        <w:t xml:space="preserve"> </w:t>
      </w:r>
      <w:hyperlink r:id="rId22" w:history="1">
        <w:r w:rsidR="008C4F5A" w:rsidRPr="00C2564E">
          <w:rPr>
            <w:rStyle w:val="Hyperlink"/>
            <w:rFonts w:cs="Arial"/>
            <w:color w:val="000000" w:themeColor="text1"/>
          </w:rPr>
          <w:t>Pearson website</w:t>
        </w:r>
      </w:hyperlink>
      <w:r w:rsidR="008C4F5A" w:rsidRPr="00B029A3">
        <w:t xml:space="preserve"> for more details.</w:t>
      </w:r>
    </w:p>
    <w:p w14:paraId="75336E45" w14:textId="77777777" w:rsidR="00B76353" w:rsidRDefault="00B76353" w:rsidP="00580996">
      <w:pPr>
        <w:pStyle w:val="Heading3"/>
      </w:pPr>
    </w:p>
    <w:p w14:paraId="78C5FC7D" w14:textId="61A79607" w:rsidR="00DE29C8" w:rsidRPr="00B029A3" w:rsidRDefault="00CE3ACE" w:rsidP="00580996">
      <w:pPr>
        <w:pStyle w:val="Heading3"/>
      </w:pPr>
      <w:bookmarkStart w:id="22" w:name="_Toc172013898"/>
      <w:r w:rsidRPr="00B029A3">
        <w:t>Annual Institutional Review Report</w:t>
      </w:r>
      <w:bookmarkEnd w:id="22"/>
      <w:r w:rsidRPr="00B029A3">
        <w:t xml:space="preserve"> </w:t>
      </w:r>
    </w:p>
    <w:p w14:paraId="5E7431F5" w14:textId="10B31AA5" w:rsidR="00DE29C8" w:rsidRPr="00B029A3" w:rsidRDefault="00CE3ACE" w:rsidP="0054548E">
      <w:pPr>
        <w:pStyle w:val="ListParagraph"/>
        <w:numPr>
          <w:ilvl w:val="0"/>
          <w:numId w:val="14"/>
        </w:numPr>
        <w:spacing w:before="0" w:after="0" w:line="240" w:lineRule="auto"/>
        <w:ind w:left="-142" w:hanging="425"/>
      </w:pPr>
      <w:r w:rsidRPr="00B029A3">
        <w:t>The University</w:t>
      </w:r>
      <w:r w:rsidR="00DE29C8" w:rsidRPr="00B029A3">
        <w:t xml:space="preserve"> is required to complete an annual </w:t>
      </w:r>
      <w:r w:rsidR="007A631F" w:rsidRPr="00B029A3">
        <w:t>Institutional Review Report (</w:t>
      </w:r>
      <w:r w:rsidR="00DE29C8" w:rsidRPr="00B029A3">
        <w:t>IRR</w:t>
      </w:r>
      <w:r w:rsidR="007A631F" w:rsidRPr="00B029A3">
        <w:t>)</w:t>
      </w:r>
      <w:r w:rsidR="00DE29C8" w:rsidRPr="00B029A3">
        <w:t xml:space="preserve">, covering its provision under the </w:t>
      </w:r>
      <w:proofErr w:type="spellStart"/>
      <w:r w:rsidR="00DE29C8" w:rsidRPr="00B029A3">
        <w:t>lic</w:t>
      </w:r>
      <w:r w:rsidR="00CF6BC5" w:rsidRPr="00B029A3">
        <w:t>ence</w:t>
      </w:r>
      <w:proofErr w:type="spellEnd"/>
      <w:r w:rsidR="00CF6BC5" w:rsidRPr="00B029A3">
        <w:t>, including that offered by collaborative partners</w:t>
      </w:r>
      <w:r w:rsidR="00307F03" w:rsidRPr="00B029A3">
        <w:t xml:space="preserve">.  </w:t>
      </w:r>
      <w:r w:rsidR="00CF6BC5" w:rsidRPr="00B029A3">
        <w:t>The IRR is completed</w:t>
      </w:r>
      <w:r w:rsidR="00DE29C8" w:rsidRPr="00B029A3">
        <w:t xml:space="preserve"> by </w:t>
      </w:r>
      <w:r w:rsidR="008B0E27" w:rsidRPr="00B029A3">
        <w:t>QAE</w:t>
      </w:r>
      <w:r w:rsidR="005474E4" w:rsidRPr="00B029A3">
        <w:t xml:space="preserve"> (using the Pearson template)</w:t>
      </w:r>
      <w:r w:rsidR="00DE29C8" w:rsidRPr="00B029A3">
        <w:t xml:space="preserve"> and submitted to </w:t>
      </w:r>
      <w:r w:rsidR="007A56FE" w:rsidRPr="00B029A3">
        <w:t>the Education Committ</w:t>
      </w:r>
      <w:r w:rsidR="007E6A72" w:rsidRPr="00B029A3">
        <w:t xml:space="preserve">ee </w:t>
      </w:r>
      <w:r w:rsidR="00DE29C8" w:rsidRPr="00B029A3">
        <w:t xml:space="preserve">prior to submission to Pearson’s University Principal Examiner in </w:t>
      </w:r>
      <w:r w:rsidR="001B13BF" w:rsidRPr="00B029A3">
        <w:t>December</w:t>
      </w:r>
      <w:r w:rsidR="00DE29C8" w:rsidRPr="00B029A3">
        <w:t xml:space="preserve"> of each year.</w:t>
      </w:r>
    </w:p>
    <w:p w14:paraId="77B75189" w14:textId="77777777" w:rsidR="00B76353" w:rsidRDefault="00B76353" w:rsidP="00580996">
      <w:pPr>
        <w:pStyle w:val="Heading3"/>
      </w:pPr>
    </w:p>
    <w:p w14:paraId="59AAE57B" w14:textId="511A4434" w:rsidR="00CF6BC5" w:rsidRPr="00B029A3" w:rsidRDefault="00CF6BC5" w:rsidP="00580996">
      <w:pPr>
        <w:pStyle w:val="Heading3"/>
      </w:pPr>
      <w:bookmarkStart w:id="23" w:name="_Toc172013899"/>
      <w:r w:rsidRPr="00B029A3">
        <w:t>External Examiners</w:t>
      </w:r>
      <w:bookmarkEnd w:id="23"/>
      <w:r w:rsidRPr="00B029A3">
        <w:t xml:space="preserve"> </w:t>
      </w:r>
    </w:p>
    <w:p w14:paraId="0B386FA5" w14:textId="5215CBF2" w:rsidR="00CF6BC5" w:rsidRPr="00E14651" w:rsidRDefault="00CF6BC5" w:rsidP="0054548E">
      <w:pPr>
        <w:pStyle w:val="ListParagraph"/>
        <w:numPr>
          <w:ilvl w:val="0"/>
          <w:numId w:val="14"/>
        </w:numPr>
        <w:spacing w:before="0" w:after="0" w:line="240" w:lineRule="auto"/>
        <w:ind w:left="-142" w:hanging="425"/>
      </w:pPr>
      <w:r w:rsidRPr="00B029A3">
        <w:t>The University is responsible for the appointment and remuneration of external examiners</w:t>
      </w:r>
      <w:r w:rsidR="00307F03" w:rsidRPr="00B029A3">
        <w:t xml:space="preserve">.  </w:t>
      </w:r>
      <w:r w:rsidRPr="00B029A3">
        <w:t>All examiners must complete the University’s external examiner report form</w:t>
      </w:r>
      <w:r w:rsidR="00307F03" w:rsidRPr="00B029A3">
        <w:t xml:space="preserve">. </w:t>
      </w:r>
      <w:r w:rsidR="0017404D" w:rsidRPr="00B029A3">
        <w:t xml:space="preserve">Any issues or examples of good practice, relating to HND </w:t>
      </w:r>
      <w:proofErr w:type="spellStart"/>
      <w:r w:rsidR="0017404D" w:rsidRPr="00B029A3">
        <w:t>programmes</w:t>
      </w:r>
      <w:proofErr w:type="spellEnd"/>
      <w:r w:rsidR="0017404D" w:rsidRPr="00B029A3">
        <w:t xml:space="preserve">, would be </w:t>
      </w:r>
      <w:r w:rsidRPr="00B029A3">
        <w:t>reported within the annual Institutional Review Report.</w:t>
      </w:r>
    </w:p>
    <w:p w14:paraId="31689158" w14:textId="77777777" w:rsidR="00B76353" w:rsidRDefault="00B76353" w:rsidP="00580996">
      <w:pPr>
        <w:pStyle w:val="Heading3"/>
      </w:pPr>
    </w:p>
    <w:p w14:paraId="0F1FB422" w14:textId="4EBFDC05" w:rsidR="00DE29C8" w:rsidRPr="00B029A3" w:rsidRDefault="00CE3ACE" w:rsidP="00580996">
      <w:pPr>
        <w:pStyle w:val="Heading3"/>
      </w:pPr>
      <w:bookmarkStart w:id="24" w:name="_Toc172013900"/>
      <w:r w:rsidRPr="00B029A3">
        <w:t>Pearson’s University Principal Examiner</w:t>
      </w:r>
      <w:bookmarkEnd w:id="24"/>
      <w:r w:rsidRPr="00B029A3">
        <w:t xml:space="preserve"> </w:t>
      </w:r>
    </w:p>
    <w:p w14:paraId="4146CF7B" w14:textId="328C794A" w:rsidR="00014A25" w:rsidRPr="00531D96" w:rsidRDefault="00127953" w:rsidP="005A34F3">
      <w:pPr>
        <w:pStyle w:val="ListParagraph"/>
        <w:numPr>
          <w:ilvl w:val="0"/>
          <w:numId w:val="14"/>
        </w:numPr>
        <w:spacing w:before="0" w:after="0" w:line="240" w:lineRule="auto"/>
        <w:ind w:left="-142" w:hanging="425"/>
      </w:pPr>
      <w:r w:rsidRPr="00B029A3">
        <w:t>Pearson</w:t>
      </w:r>
      <w:r w:rsidR="00CE3ACE" w:rsidRPr="00B029A3">
        <w:t xml:space="preserve"> appoints the</w:t>
      </w:r>
      <w:r w:rsidR="00DF7797" w:rsidRPr="00B029A3">
        <w:t xml:space="preserve"> </w:t>
      </w:r>
      <w:r w:rsidR="008845C9" w:rsidRPr="00B029A3">
        <w:t>University Principal Examiner</w:t>
      </w:r>
      <w:r w:rsidR="00DF7797" w:rsidRPr="00B029A3">
        <w:t xml:space="preserve"> who is responsible for maintaining an overview of the quality as</w:t>
      </w:r>
      <w:r w:rsidR="008845C9" w:rsidRPr="00B029A3">
        <w:t>surance and standards of BTEC</w:t>
      </w:r>
      <w:r w:rsidR="00DF7797" w:rsidRPr="00B029A3">
        <w:t xml:space="preserve"> </w:t>
      </w:r>
      <w:proofErr w:type="spellStart"/>
      <w:r w:rsidR="00DF7797" w:rsidRPr="00B029A3">
        <w:t>programmes</w:t>
      </w:r>
      <w:proofErr w:type="spellEnd"/>
      <w:r w:rsidR="00DF7797" w:rsidRPr="00B029A3">
        <w:t>.</w:t>
      </w:r>
      <w:r w:rsidR="00D90782" w:rsidRPr="00B029A3">
        <w:t xml:space="preserve"> </w:t>
      </w:r>
      <w:r w:rsidR="008845C9" w:rsidRPr="00B029A3">
        <w:t>The University Principal Examiner</w:t>
      </w:r>
      <w:r w:rsidR="00DF7797" w:rsidRPr="00B029A3">
        <w:t xml:space="preserve"> </w:t>
      </w:r>
      <w:r w:rsidR="00CE3ACE" w:rsidRPr="00B029A3">
        <w:t xml:space="preserve">analyses all IRRs and produces an annual overview report </w:t>
      </w:r>
      <w:r w:rsidR="00DF7797" w:rsidRPr="00B029A3">
        <w:t xml:space="preserve">on </w:t>
      </w:r>
      <w:r w:rsidR="008C4F5A" w:rsidRPr="00B029A3">
        <w:t xml:space="preserve">all </w:t>
      </w:r>
      <w:r w:rsidR="00DF7797" w:rsidRPr="00B029A3">
        <w:t>licensed provision across England, Wales and Northern Ireland whi</w:t>
      </w:r>
      <w:r w:rsidR="008C4F5A" w:rsidRPr="00B029A3">
        <w:t>ch will be posted on the Pearson</w:t>
      </w:r>
      <w:r w:rsidR="00DF7797" w:rsidRPr="00B029A3">
        <w:t xml:space="preserve"> website. </w:t>
      </w:r>
    </w:p>
    <w:sectPr w:rsidR="00014A25" w:rsidRPr="00531D96" w:rsidSect="00D90782">
      <w:headerReference w:type="default" r:id="rId23"/>
      <w:pgSz w:w="11900" w:h="16840"/>
      <w:pgMar w:top="1440" w:right="126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4D7A" w14:textId="77777777" w:rsidR="00E843F4" w:rsidRDefault="00E843F4">
      <w:r>
        <w:separator/>
      </w:r>
    </w:p>
  </w:endnote>
  <w:endnote w:type="continuationSeparator" w:id="0">
    <w:p w14:paraId="45081575" w14:textId="77777777" w:rsidR="00E843F4" w:rsidRDefault="00E8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7B0E" w14:textId="14CE3E29" w:rsidR="0098739B" w:rsidRPr="00110C58" w:rsidRDefault="6626684E" w:rsidP="6626684E">
    <w:pPr>
      <w:pStyle w:val="Footer"/>
      <w:pBdr>
        <w:top w:val="single" w:sz="4" w:space="0" w:color="auto"/>
      </w:pBdr>
      <w:tabs>
        <w:tab w:val="clear" w:pos="4513"/>
        <w:tab w:val="center" w:pos="4111"/>
      </w:tabs>
      <w:rPr>
        <w:rFonts w:cs="Arial"/>
        <w:sz w:val="16"/>
        <w:szCs w:val="16"/>
      </w:rPr>
    </w:pPr>
    <w:r w:rsidRPr="6626684E">
      <w:rPr>
        <w:rFonts w:cs="Arial"/>
        <w:sz w:val="16"/>
        <w:szCs w:val="16"/>
      </w:rPr>
      <w:t>AQSH: Section K</w:t>
    </w:r>
    <w:r w:rsidR="0E024405">
      <w:tab/>
    </w:r>
    <w:r w:rsidRPr="6626684E">
      <w:rPr>
        <w:sz w:val="16"/>
        <w:szCs w:val="16"/>
      </w:rPr>
      <w:t xml:space="preserve">                                                              2025-26                                                                   </w:t>
    </w:r>
    <w:r w:rsidRPr="6626684E">
      <w:rPr>
        <w:rFonts w:cs="Arial"/>
        <w:sz w:val="16"/>
        <w:szCs w:val="16"/>
      </w:rPr>
      <w:t xml:space="preserve">Page </w:t>
    </w:r>
    <w:r w:rsidR="0E024405" w:rsidRPr="6626684E">
      <w:rPr>
        <w:rFonts w:cs="Arial"/>
        <w:b/>
        <w:bCs/>
        <w:noProof/>
        <w:sz w:val="16"/>
        <w:szCs w:val="16"/>
      </w:rPr>
      <w:fldChar w:fldCharType="begin"/>
    </w:r>
    <w:r w:rsidR="0E024405" w:rsidRPr="6626684E">
      <w:rPr>
        <w:rFonts w:cs="Arial"/>
        <w:b/>
        <w:bCs/>
        <w:sz w:val="16"/>
        <w:szCs w:val="16"/>
      </w:rPr>
      <w:instrText xml:space="preserve"> PAGE </w:instrText>
    </w:r>
    <w:r w:rsidR="0E024405" w:rsidRPr="6626684E">
      <w:rPr>
        <w:rFonts w:cs="Arial"/>
        <w:b/>
        <w:bCs/>
        <w:sz w:val="16"/>
        <w:szCs w:val="16"/>
      </w:rPr>
      <w:fldChar w:fldCharType="separate"/>
    </w:r>
    <w:r w:rsidRPr="6626684E">
      <w:rPr>
        <w:rFonts w:cs="Arial"/>
        <w:b/>
        <w:bCs/>
        <w:noProof/>
        <w:sz w:val="16"/>
        <w:szCs w:val="16"/>
      </w:rPr>
      <w:t>13</w:t>
    </w:r>
    <w:r w:rsidR="0E024405" w:rsidRPr="6626684E">
      <w:rPr>
        <w:rFonts w:cs="Arial"/>
        <w:b/>
        <w:bCs/>
        <w:noProof/>
        <w:sz w:val="16"/>
        <w:szCs w:val="16"/>
      </w:rPr>
      <w:fldChar w:fldCharType="end"/>
    </w:r>
    <w:r w:rsidRPr="6626684E">
      <w:rPr>
        <w:rFonts w:cs="Arial"/>
        <w:sz w:val="16"/>
        <w:szCs w:val="16"/>
      </w:rPr>
      <w:t xml:space="preserve"> of </w:t>
    </w:r>
    <w:r w:rsidR="0E024405" w:rsidRPr="6626684E">
      <w:rPr>
        <w:rFonts w:cs="Arial"/>
        <w:b/>
        <w:bCs/>
        <w:noProof/>
        <w:sz w:val="16"/>
        <w:szCs w:val="16"/>
      </w:rPr>
      <w:fldChar w:fldCharType="begin"/>
    </w:r>
    <w:r w:rsidR="0E024405" w:rsidRPr="6626684E">
      <w:rPr>
        <w:rFonts w:cs="Arial"/>
        <w:b/>
        <w:bCs/>
        <w:sz w:val="16"/>
        <w:szCs w:val="16"/>
      </w:rPr>
      <w:instrText xml:space="preserve"> NUMPAGES  </w:instrText>
    </w:r>
    <w:r w:rsidR="0E024405" w:rsidRPr="6626684E">
      <w:rPr>
        <w:rFonts w:cs="Arial"/>
        <w:b/>
        <w:bCs/>
        <w:sz w:val="16"/>
        <w:szCs w:val="16"/>
      </w:rPr>
      <w:fldChar w:fldCharType="separate"/>
    </w:r>
    <w:r w:rsidRPr="6626684E">
      <w:rPr>
        <w:rFonts w:cs="Arial"/>
        <w:b/>
        <w:bCs/>
        <w:noProof/>
        <w:sz w:val="16"/>
        <w:szCs w:val="16"/>
      </w:rPr>
      <w:t>13</w:t>
    </w:r>
    <w:r w:rsidR="0E024405" w:rsidRPr="6626684E">
      <w:rPr>
        <w:rFonts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D6EB" w14:textId="77777777" w:rsidR="00E843F4" w:rsidRDefault="00E843F4">
      <w:r>
        <w:separator/>
      </w:r>
    </w:p>
  </w:footnote>
  <w:footnote w:type="continuationSeparator" w:id="0">
    <w:p w14:paraId="56773730" w14:textId="77777777" w:rsidR="00E843F4" w:rsidRDefault="00E84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E024405" w14:paraId="3ED70A2F" w14:textId="77777777" w:rsidTr="0E024405">
      <w:trPr>
        <w:trHeight w:val="300"/>
      </w:trPr>
      <w:tc>
        <w:tcPr>
          <w:tcW w:w="3005" w:type="dxa"/>
        </w:tcPr>
        <w:p w14:paraId="4D988B78" w14:textId="514D7944" w:rsidR="0E024405" w:rsidRDefault="0E024405" w:rsidP="0E024405">
          <w:pPr>
            <w:pStyle w:val="Header"/>
            <w:ind w:left="-115"/>
          </w:pPr>
        </w:p>
      </w:tc>
      <w:tc>
        <w:tcPr>
          <w:tcW w:w="3005" w:type="dxa"/>
        </w:tcPr>
        <w:p w14:paraId="4571C005" w14:textId="17963D89" w:rsidR="0E024405" w:rsidRDefault="0E024405" w:rsidP="0E024405">
          <w:pPr>
            <w:pStyle w:val="Header"/>
            <w:jc w:val="center"/>
          </w:pPr>
        </w:p>
      </w:tc>
      <w:tc>
        <w:tcPr>
          <w:tcW w:w="3005" w:type="dxa"/>
        </w:tcPr>
        <w:p w14:paraId="686BD439" w14:textId="18686227" w:rsidR="0E024405" w:rsidRDefault="0E024405" w:rsidP="0E024405">
          <w:pPr>
            <w:pStyle w:val="Header"/>
            <w:ind w:right="-115"/>
            <w:jc w:val="right"/>
          </w:pPr>
        </w:p>
      </w:tc>
    </w:tr>
  </w:tbl>
  <w:p w14:paraId="5BC3A0C2" w14:textId="6E49872F" w:rsidR="0E024405" w:rsidRDefault="0E024405" w:rsidP="0E02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E024405" w14:paraId="0A4EBAD8" w14:textId="77777777" w:rsidTr="0E024405">
      <w:trPr>
        <w:trHeight w:val="300"/>
      </w:trPr>
      <w:tc>
        <w:tcPr>
          <w:tcW w:w="3070" w:type="dxa"/>
        </w:tcPr>
        <w:p w14:paraId="3D37B68D" w14:textId="3CC74118" w:rsidR="0E024405" w:rsidRDefault="0E024405" w:rsidP="0E024405">
          <w:pPr>
            <w:pStyle w:val="Header"/>
            <w:ind w:left="-115"/>
          </w:pPr>
        </w:p>
      </w:tc>
      <w:tc>
        <w:tcPr>
          <w:tcW w:w="3070" w:type="dxa"/>
        </w:tcPr>
        <w:p w14:paraId="1F784792" w14:textId="10C2B7CA" w:rsidR="0E024405" w:rsidRDefault="0E024405" w:rsidP="0E024405">
          <w:pPr>
            <w:pStyle w:val="Header"/>
            <w:jc w:val="center"/>
          </w:pPr>
        </w:p>
      </w:tc>
      <w:tc>
        <w:tcPr>
          <w:tcW w:w="3070" w:type="dxa"/>
        </w:tcPr>
        <w:p w14:paraId="546A43A2" w14:textId="1E3EF0C0" w:rsidR="0E024405" w:rsidRDefault="0E024405" w:rsidP="0E024405">
          <w:pPr>
            <w:pStyle w:val="Header"/>
            <w:ind w:right="-115"/>
            <w:jc w:val="right"/>
          </w:pPr>
        </w:p>
      </w:tc>
    </w:tr>
  </w:tbl>
  <w:p w14:paraId="1360E095" w14:textId="55A17203" w:rsidR="0E024405" w:rsidRDefault="0E024405" w:rsidP="0E024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34"/>
    <w:multiLevelType w:val="hybridMultilevel"/>
    <w:tmpl w:val="84A66440"/>
    <w:lvl w:ilvl="0" w:tplc="9B00BE76">
      <w:start w:val="1"/>
      <w:numFmt w:val="lowerRoman"/>
      <w:lvlText w:val="%1."/>
      <w:lvlJc w:val="left"/>
      <w:pPr>
        <w:ind w:left="1176" w:hanging="720"/>
      </w:pPr>
      <w:rPr>
        <w:rFonts w:hint="default"/>
      </w:rPr>
    </w:lvl>
    <w:lvl w:ilvl="1" w:tplc="28EAE686">
      <w:start w:val="1"/>
      <w:numFmt w:val="lowerLetter"/>
      <w:lvlText w:val="%2."/>
      <w:lvlJc w:val="left"/>
      <w:pPr>
        <w:ind w:left="1536" w:hanging="360"/>
      </w:pPr>
      <w:rPr>
        <w:rFonts w:hint="default"/>
      </w:r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1" w15:restartNumberingAfterBreak="0">
    <w:nsid w:val="14A95BFD"/>
    <w:multiLevelType w:val="hybridMultilevel"/>
    <w:tmpl w:val="AE44EBDC"/>
    <w:lvl w:ilvl="0" w:tplc="C416F7CE">
      <w:start w:val="1"/>
      <w:numFmt w:val="bullet"/>
      <w:pStyle w:val="Bulletsspaced"/>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75A1C58"/>
    <w:multiLevelType w:val="hybridMultilevel"/>
    <w:tmpl w:val="3DA2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41708"/>
    <w:multiLevelType w:val="hybridMultilevel"/>
    <w:tmpl w:val="5428FFBC"/>
    <w:lvl w:ilvl="0" w:tplc="0809001B">
      <w:start w:val="1"/>
      <w:numFmt w:val="lowerRoman"/>
      <w:lvlText w:val="%1."/>
      <w:lvlJc w:val="right"/>
      <w:pPr>
        <w:ind w:left="1440" w:hanging="360"/>
      </w:pPr>
      <w:rPr>
        <w:rFonts w:hint="default"/>
      </w:rPr>
    </w:lvl>
    <w:lvl w:ilvl="1" w:tplc="823492FA">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AEA484D"/>
    <w:multiLevelType w:val="hybridMultilevel"/>
    <w:tmpl w:val="8EC0F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21F19"/>
    <w:multiLevelType w:val="hybridMultilevel"/>
    <w:tmpl w:val="AF3CFED0"/>
    <w:lvl w:ilvl="0" w:tplc="00505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B0DDD"/>
    <w:multiLevelType w:val="hybridMultilevel"/>
    <w:tmpl w:val="0DF0063C"/>
    <w:lvl w:ilvl="0" w:tplc="B600A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954C8"/>
    <w:multiLevelType w:val="hybridMultilevel"/>
    <w:tmpl w:val="73FE5C92"/>
    <w:lvl w:ilvl="0" w:tplc="FFFFFFFF">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EC421AF"/>
    <w:multiLevelType w:val="hybridMultilevel"/>
    <w:tmpl w:val="0DF0063C"/>
    <w:lvl w:ilvl="0" w:tplc="B600A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47509E"/>
    <w:multiLevelType w:val="hybridMultilevel"/>
    <w:tmpl w:val="0DF0063C"/>
    <w:lvl w:ilvl="0" w:tplc="B600A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142210"/>
    <w:multiLevelType w:val="hybridMultilevel"/>
    <w:tmpl w:val="EF3423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AA1109"/>
    <w:multiLevelType w:val="hybridMultilevel"/>
    <w:tmpl w:val="A2CA8EAE"/>
    <w:lvl w:ilvl="0" w:tplc="9B00BE76">
      <w:start w:val="1"/>
      <w:numFmt w:val="lowerRoman"/>
      <w:lvlText w:val="%1."/>
      <w:lvlJc w:val="left"/>
      <w:pPr>
        <w:ind w:left="1176" w:hanging="720"/>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12" w15:restartNumberingAfterBreak="0">
    <w:nsid w:val="4BCB72A2"/>
    <w:multiLevelType w:val="hybridMultilevel"/>
    <w:tmpl w:val="0DF0063C"/>
    <w:lvl w:ilvl="0" w:tplc="B600A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B426B4"/>
    <w:multiLevelType w:val="hybridMultilevel"/>
    <w:tmpl w:val="206A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E7516"/>
    <w:multiLevelType w:val="hybridMultilevel"/>
    <w:tmpl w:val="B79A47D4"/>
    <w:lvl w:ilvl="0" w:tplc="00505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D5D36"/>
    <w:multiLevelType w:val="hybridMultilevel"/>
    <w:tmpl w:val="0DF0063C"/>
    <w:lvl w:ilvl="0" w:tplc="B600A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3282A"/>
    <w:multiLevelType w:val="hybridMultilevel"/>
    <w:tmpl w:val="000AF4E4"/>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0CE12AF"/>
    <w:multiLevelType w:val="hybridMultilevel"/>
    <w:tmpl w:val="DB42FC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3D23C75"/>
    <w:multiLevelType w:val="hybridMultilevel"/>
    <w:tmpl w:val="9084A7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91C50"/>
    <w:multiLevelType w:val="multilevel"/>
    <w:tmpl w:val="1532A38E"/>
    <w:name w:val="HEFCE62"/>
    <w:lvl w:ilvl="0">
      <w:start w:val="1"/>
      <w:numFmt w:val="decimal"/>
      <w:lvlRestart w:val="0"/>
      <w:lvlText w:val="%1."/>
      <w:lvlJc w:val="left"/>
      <w:pPr>
        <w:tabs>
          <w:tab w:val="num" w:pos="567"/>
        </w:tabs>
        <w:ind w:left="0" w:firstLine="0"/>
      </w:pPr>
      <w:rPr>
        <w:rFonts w:hint="default"/>
        <w:b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0" w15:restartNumberingAfterBreak="0">
    <w:nsid w:val="663D7A51"/>
    <w:multiLevelType w:val="hybridMultilevel"/>
    <w:tmpl w:val="74CADB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4C141A"/>
    <w:multiLevelType w:val="hybridMultilevel"/>
    <w:tmpl w:val="1AE04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2D0887"/>
    <w:multiLevelType w:val="hybridMultilevel"/>
    <w:tmpl w:val="0DF0063C"/>
    <w:lvl w:ilvl="0" w:tplc="B600A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7899566">
    <w:abstractNumId w:val="15"/>
  </w:num>
  <w:num w:numId="2" w16cid:durableId="895893183">
    <w:abstractNumId w:val="12"/>
  </w:num>
  <w:num w:numId="3" w16cid:durableId="306015912">
    <w:abstractNumId w:val="9"/>
  </w:num>
  <w:num w:numId="4" w16cid:durableId="2029477967">
    <w:abstractNumId w:val="6"/>
  </w:num>
  <w:num w:numId="5" w16cid:durableId="865101570">
    <w:abstractNumId w:val="8"/>
  </w:num>
  <w:num w:numId="6" w16cid:durableId="1415930454">
    <w:abstractNumId w:val="22"/>
  </w:num>
  <w:num w:numId="7" w16cid:durableId="1531257350">
    <w:abstractNumId w:val="4"/>
  </w:num>
  <w:num w:numId="8" w16cid:durableId="453138240">
    <w:abstractNumId w:val="16"/>
  </w:num>
  <w:num w:numId="9" w16cid:durableId="961575505">
    <w:abstractNumId w:val="3"/>
  </w:num>
  <w:num w:numId="10" w16cid:durableId="1097285891">
    <w:abstractNumId w:val="17"/>
  </w:num>
  <w:num w:numId="11" w16cid:durableId="408696178">
    <w:abstractNumId w:val="1"/>
  </w:num>
  <w:num w:numId="12" w16cid:durableId="902569811">
    <w:abstractNumId w:val="20"/>
  </w:num>
  <w:num w:numId="13" w16cid:durableId="2011591868">
    <w:abstractNumId w:val="18"/>
  </w:num>
  <w:num w:numId="14" w16cid:durableId="589629831">
    <w:abstractNumId w:val="21"/>
  </w:num>
  <w:num w:numId="15" w16cid:durableId="154037545">
    <w:abstractNumId w:val="7"/>
  </w:num>
  <w:num w:numId="16" w16cid:durableId="151143858">
    <w:abstractNumId w:val="0"/>
  </w:num>
  <w:num w:numId="17" w16cid:durableId="1471707724">
    <w:abstractNumId w:val="11"/>
  </w:num>
  <w:num w:numId="18" w16cid:durableId="2020739884">
    <w:abstractNumId w:val="14"/>
  </w:num>
  <w:num w:numId="19" w16cid:durableId="1137727333">
    <w:abstractNumId w:val="5"/>
  </w:num>
  <w:num w:numId="20" w16cid:durableId="1166939604">
    <w:abstractNumId w:val="10"/>
  </w:num>
  <w:num w:numId="21" w16cid:durableId="1088381919">
    <w:abstractNumId w:val="2"/>
  </w:num>
  <w:num w:numId="22" w16cid:durableId="209172871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97"/>
    <w:rsid w:val="0000003F"/>
    <w:rsid w:val="00002344"/>
    <w:rsid w:val="000055CB"/>
    <w:rsid w:val="0001375A"/>
    <w:rsid w:val="00014A25"/>
    <w:rsid w:val="00031E14"/>
    <w:rsid w:val="000340E0"/>
    <w:rsid w:val="00034AB8"/>
    <w:rsid w:val="00034D85"/>
    <w:rsid w:val="00037A8B"/>
    <w:rsid w:val="00044CAC"/>
    <w:rsid w:val="000457EC"/>
    <w:rsid w:val="0004589A"/>
    <w:rsid w:val="00045AF0"/>
    <w:rsid w:val="000463CB"/>
    <w:rsid w:val="000466E5"/>
    <w:rsid w:val="00047873"/>
    <w:rsid w:val="00055BF1"/>
    <w:rsid w:val="000604E5"/>
    <w:rsid w:val="00063531"/>
    <w:rsid w:val="00070A92"/>
    <w:rsid w:val="00071048"/>
    <w:rsid w:val="00074F36"/>
    <w:rsid w:val="00075925"/>
    <w:rsid w:val="00077EEE"/>
    <w:rsid w:val="00085BCF"/>
    <w:rsid w:val="00086437"/>
    <w:rsid w:val="00086D86"/>
    <w:rsid w:val="000917E4"/>
    <w:rsid w:val="00092FBA"/>
    <w:rsid w:val="00093963"/>
    <w:rsid w:val="000944F9"/>
    <w:rsid w:val="00094EE4"/>
    <w:rsid w:val="000A680B"/>
    <w:rsid w:val="000B222D"/>
    <w:rsid w:val="000B3739"/>
    <w:rsid w:val="000B44F1"/>
    <w:rsid w:val="000B4A61"/>
    <w:rsid w:val="000B5C7B"/>
    <w:rsid w:val="000E0BC3"/>
    <w:rsid w:val="000E650E"/>
    <w:rsid w:val="000F009E"/>
    <w:rsid w:val="000F16FC"/>
    <w:rsid w:val="000F17FB"/>
    <w:rsid w:val="000F1861"/>
    <w:rsid w:val="00102383"/>
    <w:rsid w:val="00105DEB"/>
    <w:rsid w:val="00106219"/>
    <w:rsid w:val="00106C0F"/>
    <w:rsid w:val="00115A7E"/>
    <w:rsid w:val="00115FDD"/>
    <w:rsid w:val="00116620"/>
    <w:rsid w:val="00117461"/>
    <w:rsid w:val="00120BE7"/>
    <w:rsid w:val="0012433F"/>
    <w:rsid w:val="001250B2"/>
    <w:rsid w:val="00126A5B"/>
    <w:rsid w:val="00127953"/>
    <w:rsid w:val="00134CF5"/>
    <w:rsid w:val="00136C1D"/>
    <w:rsid w:val="00137279"/>
    <w:rsid w:val="00140701"/>
    <w:rsid w:val="001502E4"/>
    <w:rsid w:val="00152013"/>
    <w:rsid w:val="00171C9A"/>
    <w:rsid w:val="0017404D"/>
    <w:rsid w:val="00182FBE"/>
    <w:rsid w:val="00185417"/>
    <w:rsid w:val="00191998"/>
    <w:rsid w:val="001923BC"/>
    <w:rsid w:val="00197701"/>
    <w:rsid w:val="001A5658"/>
    <w:rsid w:val="001B05D3"/>
    <w:rsid w:val="001B13BF"/>
    <w:rsid w:val="001B3A37"/>
    <w:rsid w:val="001B4532"/>
    <w:rsid w:val="001B5C8F"/>
    <w:rsid w:val="001C0D20"/>
    <w:rsid w:val="001C0E66"/>
    <w:rsid w:val="001C4E84"/>
    <w:rsid w:val="001C635E"/>
    <w:rsid w:val="001E737A"/>
    <w:rsid w:val="001F4F7D"/>
    <w:rsid w:val="001F4FA4"/>
    <w:rsid w:val="00213642"/>
    <w:rsid w:val="0021549E"/>
    <w:rsid w:val="00221D78"/>
    <w:rsid w:val="002336C1"/>
    <w:rsid w:val="00244F5C"/>
    <w:rsid w:val="0025158A"/>
    <w:rsid w:val="002541AF"/>
    <w:rsid w:val="00257A46"/>
    <w:rsid w:val="00264443"/>
    <w:rsid w:val="00266425"/>
    <w:rsid w:val="002703AE"/>
    <w:rsid w:val="0027368C"/>
    <w:rsid w:val="00274A24"/>
    <w:rsid w:val="00281086"/>
    <w:rsid w:val="00282205"/>
    <w:rsid w:val="002859A4"/>
    <w:rsid w:val="00297E1C"/>
    <w:rsid w:val="002A67E3"/>
    <w:rsid w:val="002B5820"/>
    <w:rsid w:val="002C1BA2"/>
    <w:rsid w:val="002D0F7C"/>
    <w:rsid w:val="002D5FFC"/>
    <w:rsid w:val="002E1D83"/>
    <w:rsid w:val="002E2B4D"/>
    <w:rsid w:val="002E37E8"/>
    <w:rsid w:val="002E5ED2"/>
    <w:rsid w:val="002F4AF1"/>
    <w:rsid w:val="002F5437"/>
    <w:rsid w:val="002F5F92"/>
    <w:rsid w:val="0030019E"/>
    <w:rsid w:val="00306439"/>
    <w:rsid w:val="00307F03"/>
    <w:rsid w:val="003103BD"/>
    <w:rsid w:val="0031462B"/>
    <w:rsid w:val="00320AA7"/>
    <w:rsid w:val="003214DF"/>
    <w:rsid w:val="00321D86"/>
    <w:rsid w:val="00322C56"/>
    <w:rsid w:val="00322DCE"/>
    <w:rsid w:val="00326440"/>
    <w:rsid w:val="00327D17"/>
    <w:rsid w:val="00332DB4"/>
    <w:rsid w:val="0034008D"/>
    <w:rsid w:val="00343106"/>
    <w:rsid w:val="00347423"/>
    <w:rsid w:val="00351628"/>
    <w:rsid w:val="003677B3"/>
    <w:rsid w:val="0037166E"/>
    <w:rsid w:val="00371C01"/>
    <w:rsid w:val="0037329D"/>
    <w:rsid w:val="0037371F"/>
    <w:rsid w:val="00381AD0"/>
    <w:rsid w:val="00383ADE"/>
    <w:rsid w:val="003909B5"/>
    <w:rsid w:val="003913E8"/>
    <w:rsid w:val="003A0A3F"/>
    <w:rsid w:val="003B07E9"/>
    <w:rsid w:val="003B2906"/>
    <w:rsid w:val="003B411C"/>
    <w:rsid w:val="003B6BDA"/>
    <w:rsid w:val="003C40EC"/>
    <w:rsid w:val="003D3410"/>
    <w:rsid w:val="003D7E74"/>
    <w:rsid w:val="003E0A90"/>
    <w:rsid w:val="003E3EC2"/>
    <w:rsid w:val="003E5C3A"/>
    <w:rsid w:val="003F4770"/>
    <w:rsid w:val="00406112"/>
    <w:rsid w:val="00413DD3"/>
    <w:rsid w:val="0041745B"/>
    <w:rsid w:val="00417D36"/>
    <w:rsid w:val="00422D4F"/>
    <w:rsid w:val="00423B67"/>
    <w:rsid w:val="0042539D"/>
    <w:rsid w:val="004254CB"/>
    <w:rsid w:val="004254E6"/>
    <w:rsid w:val="00426996"/>
    <w:rsid w:val="00426C5D"/>
    <w:rsid w:val="00433F39"/>
    <w:rsid w:val="0043486E"/>
    <w:rsid w:val="00444F58"/>
    <w:rsid w:val="00453607"/>
    <w:rsid w:val="00460159"/>
    <w:rsid w:val="00461CBE"/>
    <w:rsid w:val="004802BB"/>
    <w:rsid w:val="004822A7"/>
    <w:rsid w:val="004826C2"/>
    <w:rsid w:val="004952D3"/>
    <w:rsid w:val="004B2EAD"/>
    <w:rsid w:val="004B6870"/>
    <w:rsid w:val="004C0F73"/>
    <w:rsid w:val="004C44C9"/>
    <w:rsid w:val="004D1106"/>
    <w:rsid w:val="004D2B66"/>
    <w:rsid w:val="004F0EA3"/>
    <w:rsid w:val="004F1817"/>
    <w:rsid w:val="004F5E98"/>
    <w:rsid w:val="00505309"/>
    <w:rsid w:val="00506300"/>
    <w:rsid w:val="0051059C"/>
    <w:rsid w:val="0051216B"/>
    <w:rsid w:val="00513554"/>
    <w:rsid w:val="005175EB"/>
    <w:rsid w:val="00517E70"/>
    <w:rsid w:val="00524BA3"/>
    <w:rsid w:val="00531D96"/>
    <w:rsid w:val="00542D19"/>
    <w:rsid w:val="0054548E"/>
    <w:rsid w:val="005474E4"/>
    <w:rsid w:val="005508AD"/>
    <w:rsid w:val="00553A32"/>
    <w:rsid w:val="00555521"/>
    <w:rsid w:val="005637B5"/>
    <w:rsid w:val="00566509"/>
    <w:rsid w:val="0057361F"/>
    <w:rsid w:val="00580996"/>
    <w:rsid w:val="0058770C"/>
    <w:rsid w:val="005948A0"/>
    <w:rsid w:val="00594D67"/>
    <w:rsid w:val="005A6F22"/>
    <w:rsid w:val="005B14FE"/>
    <w:rsid w:val="005B432F"/>
    <w:rsid w:val="005C006F"/>
    <w:rsid w:val="005C0A17"/>
    <w:rsid w:val="005C155A"/>
    <w:rsid w:val="005C331F"/>
    <w:rsid w:val="005C4C2B"/>
    <w:rsid w:val="005D158B"/>
    <w:rsid w:val="005D5714"/>
    <w:rsid w:val="005D76E5"/>
    <w:rsid w:val="005E1AAA"/>
    <w:rsid w:val="005E2DE8"/>
    <w:rsid w:val="005F37DF"/>
    <w:rsid w:val="005F5F68"/>
    <w:rsid w:val="00600747"/>
    <w:rsid w:val="00604305"/>
    <w:rsid w:val="006067CB"/>
    <w:rsid w:val="00646252"/>
    <w:rsid w:val="00646ED1"/>
    <w:rsid w:val="00647480"/>
    <w:rsid w:val="00655B87"/>
    <w:rsid w:val="00655D41"/>
    <w:rsid w:val="00660795"/>
    <w:rsid w:val="00662FEE"/>
    <w:rsid w:val="0066346D"/>
    <w:rsid w:val="0066456E"/>
    <w:rsid w:val="006652CA"/>
    <w:rsid w:val="006654CA"/>
    <w:rsid w:val="006706F9"/>
    <w:rsid w:val="00672DC5"/>
    <w:rsid w:val="00674101"/>
    <w:rsid w:val="0067613C"/>
    <w:rsid w:val="00676289"/>
    <w:rsid w:val="006777E0"/>
    <w:rsid w:val="00680CC8"/>
    <w:rsid w:val="00683BE4"/>
    <w:rsid w:val="006912BD"/>
    <w:rsid w:val="006919E9"/>
    <w:rsid w:val="00694C8B"/>
    <w:rsid w:val="00697926"/>
    <w:rsid w:val="006A2726"/>
    <w:rsid w:val="006A47F1"/>
    <w:rsid w:val="006A5D6B"/>
    <w:rsid w:val="006A7123"/>
    <w:rsid w:val="006B5FB1"/>
    <w:rsid w:val="006C24A4"/>
    <w:rsid w:val="006D6995"/>
    <w:rsid w:val="006E2E64"/>
    <w:rsid w:val="006E4180"/>
    <w:rsid w:val="006F053F"/>
    <w:rsid w:val="006F1BE4"/>
    <w:rsid w:val="00700AE5"/>
    <w:rsid w:val="00705DFF"/>
    <w:rsid w:val="00707C96"/>
    <w:rsid w:val="00711656"/>
    <w:rsid w:val="0071304C"/>
    <w:rsid w:val="007235E1"/>
    <w:rsid w:val="00723708"/>
    <w:rsid w:val="0072387F"/>
    <w:rsid w:val="007252F9"/>
    <w:rsid w:val="00725FD5"/>
    <w:rsid w:val="00732386"/>
    <w:rsid w:val="0073514A"/>
    <w:rsid w:val="007418E9"/>
    <w:rsid w:val="007557C5"/>
    <w:rsid w:val="00762CA8"/>
    <w:rsid w:val="00763914"/>
    <w:rsid w:val="00763C8D"/>
    <w:rsid w:val="00764761"/>
    <w:rsid w:val="007673E1"/>
    <w:rsid w:val="00772F3D"/>
    <w:rsid w:val="00791B79"/>
    <w:rsid w:val="0079480A"/>
    <w:rsid w:val="007A2A1C"/>
    <w:rsid w:val="007A2C83"/>
    <w:rsid w:val="007A3CA0"/>
    <w:rsid w:val="007A56FE"/>
    <w:rsid w:val="007A631F"/>
    <w:rsid w:val="007B5E17"/>
    <w:rsid w:val="007B60EE"/>
    <w:rsid w:val="007C1355"/>
    <w:rsid w:val="007C2634"/>
    <w:rsid w:val="007D35F2"/>
    <w:rsid w:val="007D424B"/>
    <w:rsid w:val="007D4A44"/>
    <w:rsid w:val="007E6A72"/>
    <w:rsid w:val="007F0C04"/>
    <w:rsid w:val="008078DC"/>
    <w:rsid w:val="00813FF2"/>
    <w:rsid w:val="00817A33"/>
    <w:rsid w:val="00821EA2"/>
    <w:rsid w:val="00830383"/>
    <w:rsid w:val="008341CF"/>
    <w:rsid w:val="008375E3"/>
    <w:rsid w:val="00841E35"/>
    <w:rsid w:val="00843358"/>
    <w:rsid w:val="00844FDF"/>
    <w:rsid w:val="0085647A"/>
    <w:rsid w:val="008573D1"/>
    <w:rsid w:val="00862C99"/>
    <w:rsid w:val="00873283"/>
    <w:rsid w:val="00874104"/>
    <w:rsid w:val="00882B16"/>
    <w:rsid w:val="008843F1"/>
    <w:rsid w:val="008845C9"/>
    <w:rsid w:val="0089071B"/>
    <w:rsid w:val="00890B65"/>
    <w:rsid w:val="008A127A"/>
    <w:rsid w:val="008A1D65"/>
    <w:rsid w:val="008A1EEB"/>
    <w:rsid w:val="008A4D52"/>
    <w:rsid w:val="008A633B"/>
    <w:rsid w:val="008B0E27"/>
    <w:rsid w:val="008B146E"/>
    <w:rsid w:val="008C4F5A"/>
    <w:rsid w:val="008C5090"/>
    <w:rsid w:val="008C7A68"/>
    <w:rsid w:val="008D19AB"/>
    <w:rsid w:val="008D712B"/>
    <w:rsid w:val="008D78EB"/>
    <w:rsid w:val="008E0E44"/>
    <w:rsid w:val="008E1D0B"/>
    <w:rsid w:val="008F2091"/>
    <w:rsid w:val="008F36A1"/>
    <w:rsid w:val="008F3772"/>
    <w:rsid w:val="00900582"/>
    <w:rsid w:val="00911AEA"/>
    <w:rsid w:val="009159B9"/>
    <w:rsid w:val="00917660"/>
    <w:rsid w:val="009208BE"/>
    <w:rsid w:val="00932F16"/>
    <w:rsid w:val="00936D7D"/>
    <w:rsid w:val="0095136D"/>
    <w:rsid w:val="00956403"/>
    <w:rsid w:val="00963CD8"/>
    <w:rsid w:val="00964B02"/>
    <w:rsid w:val="00970561"/>
    <w:rsid w:val="0098739B"/>
    <w:rsid w:val="00994D88"/>
    <w:rsid w:val="0099665A"/>
    <w:rsid w:val="00997A52"/>
    <w:rsid w:val="009A5F92"/>
    <w:rsid w:val="009A6225"/>
    <w:rsid w:val="009C2544"/>
    <w:rsid w:val="009C511C"/>
    <w:rsid w:val="009C56CE"/>
    <w:rsid w:val="009D18F4"/>
    <w:rsid w:val="009D5F40"/>
    <w:rsid w:val="009F7D01"/>
    <w:rsid w:val="00A02112"/>
    <w:rsid w:val="00A02BB4"/>
    <w:rsid w:val="00A140B2"/>
    <w:rsid w:val="00A143A0"/>
    <w:rsid w:val="00A14473"/>
    <w:rsid w:val="00A24BEC"/>
    <w:rsid w:val="00A24F8A"/>
    <w:rsid w:val="00A274BD"/>
    <w:rsid w:val="00A3063B"/>
    <w:rsid w:val="00A331C1"/>
    <w:rsid w:val="00A403DE"/>
    <w:rsid w:val="00A45A22"/>
    <w:rsid w:val="00A526A7"/>
    <w:rsid w:val="00A54866"/>
    <w:rsid w:val="00A5493A"/>
    <w:rsid w:val="00A56B74"/>
    <w:rsid w:val="00A61D1A"/>
    <w:rsid w:val="00A64521"/>
    <w:rsid w:val="00A70EE0"/>
    <w:rsid w:val="00A7329A"/>
    <w:rsid w:val="00A8190B"/>
    <w:rsid w:val="00A87193"/>
    <w:rsid w:val="00A87FED"/>
    <w:rsid w:val="00A92640"/>
    <w:rsid w:val="00AA15CF"/>
    <w:rsid w:val="00AA199C"/>
    <w:rsid w:val="00AA298B"/>
    <w:rsid w:val="00AA3ABC"/>
    <w:rsid w:val="00AB088E"/>
    <w:rsid w:val="00AB59E5"/>
    <w:rsid w:val="00AB5FD5"/>
    <w:rsid w:val="00AD27F6"/>
    <w:rsid w:val="00AD512B"/>
    <w:rsid w:val="00AE03CF"/>
    <w:rsid w:val="00AE3526"/>
    <w:rsid w:val="00AF564A"/>
    <w:rsid w:val="00AF6DA3"/>
    <w:rsid w:val="00B01F7C"/>
    <w:rsid w:val="00B029A3"/>
    <w:rsid w:val="00B16943"/>
    <w:rsid w:val="00B36CA1"/>
    <w:rsid w:val="00B36E2D"/>
    <w:rsid w:val="00B41C1C"/>
    <w:rsid w:val="00B50E6D"/>
    <w:rsid w:val="00B556D4"/>
    <w:rsid w:val="00B60F99"/>
    <w:rsid w:val="00B62564"/>
    <w:rsid w:val="00B66955"/>
    <w:rsid w:val="00B75332"/>
    <w:rsid w:val="00B76353"/>
    <w:rsid w:val="00B80814"/>
    <w:rsid w:val="00B86E8B"/>
    <w:rsid w:val="00B915EE"/>
    <w:rsid w:val="00B91E77"/>
    <w:rsid w:val="00BA094B"/>
    <w:rsid w:val="00BA2FFF"/>
    <w:rsid w:val="00BA414C"/>
    <w:rsid w:val="00BB0987"/>
    <w:rsid w:val="00BB1722"/>
    <w:rsid w:val="00BB23ED"/>
    <w:rsid w:val="00BB2FD7"/>
    <w:rsid w:val="00BB4722"/>
    <w:rsid w:val="00BB567C"/>
    <w:rsid w:val="00BC283A"/>
    <w:rsid w:val="00BC3D35"/>
    <w:rsid w:val="00BC43BC"/>
    <w:rsid w:val="00BC607D"/>
    <w:rsid w:val="00BD03D2"/>
    <w:rsid w:val="00BD670B"/>
    <w:rsid w:val="00BD71B1"/>
    <w:rsid w:val="00BD7356"/>
    <w:rsid w:val="00BE1826"/>
    <w:rsid w:val="00BE1C25"/>
    <w:rsid w:val="00BE2EF8"/>
    <w:rsid w:val="00BE433F"/>
    <w:rsid w:val="00BF22A0"/>
    <w:rsid w:val="00C034EF"/>
    <w:rsid w:val="00C118FD"/>
    <w:rsid w:val="00C15B3D"/>
    <w:rsid w:val="00C21C89"/>
    <w:rsid w:val="00C2564E"/>
    <w:rsid w:val="00C26F0B"/>
    <w:rsid w:val="00C32D57"/>
    <w:rsid w:val="00C5204D"/>
    <w:rsid w:val="00C53C6E"/>
    <w:rsid w:val="00C53D7E"/>
    <w:rsid w:val="00C55778"/>
    <w:rsid w:val="00C56832"/>
    <w:rsid w:val="00C653C1"/>
    <w:rsid w:val="00C70FC8"/>
    <w:rsid w:val="00C77DF6"/>
    <w:rsid w:val="00CA3372"/>
    <w:rsid w:val="00CB461A"/>
    <w:rsid w:val="00CB4D51"/>
    <w:rsid w:val="00CC5C88"/>
    <w:rsid w:val="00CD07FD"/>
    <w:rsid w:val="00CD215B"/>
    <w:rsid w:val="00CE1A34"/>
    <w:rsid w:val="00CE2FAB"/>
    <w:rsid w:val="00CE3ACE"/>
    <w:rsid w:val="00CE6AA3"/>
    <w:rsid w:val="00CF0934"/>
    <w:rsid w:val="00CF2BCA"/>
    <w:rsid w:val="00CF3AE2"/>
    <w:rsid w:val="00CF6619"/>
    <w:rsid w:val="00CF6BC5"/>
    <w:rsid w:val="00D008F3"/>
    <w:rsid w:val="00D150B6"/>
    <w:rsid w:val="00D15175"/>
    <w:rsid w:val="00D2014F"/>
    <w:rsid w:val="00D22A61"/>
    <w:rsid w:val="00D335C3"/>
    <w:rsid w:val="00D3576D"/>
    <w:rsid w:val="00D45366"/>
    <w:rsid w:val="00D529EF"/>
    <w:rsid w:val="00D56195"/>
    <w:rsid w:val="00D570E1"/>
    <w:rsid w:val="00D66C83"/>
    <w:rsid w:val="00D740E7"/>
    <w:rsid w:val="00D7444E"/>
    <w:rsid w:val="00D83FC5"/>
    <w:rsid w:val="00D86134"/>
    <w:rsid w:val="00D870A2"/>
    <w:rsid w:val="00D90579"/>
    <w:rsid w:val="00D90782"/>
    <w:rsid w:val="00D95BE9"/>
    <w:rsid w:val="00DA5793"/>
    <w:rsid w:val="00DB47CD"/>
    <w:rsid w:val="00DC3098"/>
    <w:rsid w:val="00DD06C0"/>
    <w:rsid w:val="00DD320A"/>
    <w:rsid w:val="00DD39B7"/>
    <w:rsid w:val="00DD3D5D"/>
    <w:rsid w:val="00DD437C"/>
    <w:rsid w:val="00DD6221"/>
    <w:rsid w:val="00DE214D"/>
    <w:rsid w:val="00DE29C8"/>
    <w:rsid w:val="00DE325C"/>
    <w:rsid w:val="00DF048E"/>
    <w:rsid w:val="00DF1C79"/>
    <w:rsid w:val="00DF3EAA"/>
    <w:rsid w:val="00DF6E5D"/>
    <w:rsid w:val="00DF6FE5"/>
    <w:rsid w:val="00DF7797"/>
    <w:rsid w:val="00E0179E"/>
    <w:rsid w:val="00E07D4C"/>
    <w:rsid w:val="00E106DC"/>
    <w:rsid w:val="00E14651"/>
    <w:rsid w:val="00E2154C"/>
    <w:rsid w:val="00E2197C"/>
    <w:rsid w:val="00E255FB"/>
    <w:rsid w:val="00E315A3"/>
    <w:rsid w:val="00E323AA"/>
    <w:rsid w:val="00E32875"/>
    <w:rsid w:val="00E35009"/>
    <w:rsid w:val="00E40478"/>
    <w:rsid w:val="00E413D9"/>
    <w:rsid w:val="00E41E7E"/>
    <w:rsid w:val="00E46848"/>
    <w:rsid w:val="00E50B09"/>
    <w:rsid w:val="00E579B7"/>
    <w:rsid w:val="00E64958"/>
    <w:rsid w:val="00E70430"/>
    <w:rsid w:val="00E745C4"/>
    <w:rsid w:val="00E75708"/>
    <w:rsid w:val="00E8393B"/>
    <w:rsid w:val="00E843F4"/>
    <w:rsid w:val="00E913DC"/>
    <w:rsid w:val="00EA0C0C"/>
    <w:rsid w:val="00EA0D3F"/>
    <w:rsid w:val="00EA7D7B"/>
    <w:rsid w:val="00EC1DE6"/>
    <w:rsid w:val="00EC2861"/>
    <w:rsid w:val="00ED2956"/>
    <w:rsid w:val="00ED2CFB"/>
    <w:rsid w:val="00EE1183"/>
    <w:rsid w:val="00EE2595"/>
    <w:rsid w:val="00EE2EDD"/>
    <w:rsid w:val="00EE64E3"/>
    <w:rsid w:val="00EE7474"/>
    <w:rsid w:val="00EF680E"/>
    <w:rsid w:val="00F028AE"/>
    <w:rsid w:val="00F16134"/>
    <w:rsid w:val="00F22052"/>
    <w:rsid w:val="00F23674"/>
    <w:rsid w:val="00F31C68"/>
    <w:rsid w:val="00F31DDE"/>
    <w:rsid w:val="00F33C90"/>
    <w:rsid w:val="00F351DD"/>
    <w:rsid w:val="00F524A3"/>
    <w:rsid w:val="00F533A6"/>
    <w:rsid w:val="00F5739E"/>
    <w:rsid w:val="00F57F4C"/>
    <w:rsid w:val="00F601D7"/>
    <w:rsid w:val="00F617B3"/>
    <w:rsid w:val="00F644B3"/>
    <w:rsid w:val="00F74234"/>
    <w:rsid w:val="00F754BB"/>
    <w:rsid w:val="00F80E13"/>
    <w:rsid w:val="00F85B33"/>
    <w:rsid w:val="00F90518"/>
    <w:rsid w:val="00F91340"/>
    <w:rsid w:val="00F91C79"/>
    <w:rsid w:val="00F92235"/>
    <w:rsid w:val="00FB1B85"/>
    <w:rsid w:val="00FB2C33"/>
    <w:rsid w:val="00FC2E1E"/>
    <w:rsid w:val="00FC4E4B"/>
    <w:rsid w:val="00FC56B1"/>
    <w:rsid w:val="00FD0E25"/>
    <w:rsid w:val="00FD17DE"/>
    <w:rsid w:val="00FD549F"/>
    <w:rsid w:val="00FE0F33"/>
    <w:rsid w:val="00FE53F7"/>
    <w:rsid w:val="00FF1B84"/>
    <w:rsid w:val="00FF1E6C"/>
    <w:rsid w:val="00FF5AA1"/>
    <w:rsid w:val="00FF67D8"/>
    <w:rsid w:val="0E024405"/>
    <w:rsid w:val="6626684E"/>
    <w:rsid w:val="686208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39D74"/>
  <w15:chartTrackingRefBased/>
  <w15:docId w15:val="{E150BAB2-1B2E-6B41-919B-510E8098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73"/>
    <w:pPr>
      <w:widowControl w:val="0"/>
      <w:spacing w:before="120" w:after="120" w:line="360" w:lineRule="auto"/>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047873"/>
    <w:pPr>
      <w:keepNext/>
      <w:keepLines/>
      <w:spacing w:before="0" w:after="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47873"/>
    <w:pPr>
      <w:keepNext/>
      <w:keepLines/>
      <w:spacing w:before="0" w:after="0" w:line="240"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qFormat/>
    <w:rsid w:val="00580996"/>
    <w:pPr>
      <w:keepNext/>
      <w:widowControl/>
      <w:spacing w:before="0" w:after="0" w:line="240" w:lineRule="auto"/>
      <w:ind w:hanging="567"/>
      <w:outlineLvl w:val="2"/>
    </w:pPr>
    <w:rPr>
      <w:rFonts w:cs="Arial"/>
      <w:b/>
      <w:bCs/>
      <w:snapToGrid/>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797"/>
    <w:pPr>
      <w:tabs>
        <w:tab w:val="center" w:pos="4513"/>
        <w:tab w:val="right" w:pos="9026"/>
      </w:tabs>
    </w:pPr>
  </w:style>
  <w:style w:type="character" w:customStyle="1" w:styleId="FooterChar">
    <w:name w:val="Footer Char"/>
    <w:link w:val="Footer"/>
    <w:uiPriority w:val="99"/>
    <w:rsid w:val="00DF7797"/>
    <w:rPr>
      <w:rFonts w:ascii="Times New Roman" w:eastAsia="Times New Roman" w:hAnsi="Times New Roman" w:cs="Times New Roman"/>
      <w:snapToGrid w:val="0"/>
      <w:szCs w:val="20"/>
    </w:rPr>
  </w:style>
  <w:style w:type="paragraph" w:customStyle="1" w:styleId="Default">
    <w:name w:val="Default"/>
    <w:rsid w:val="00DF7797"/>
    <w:pPr>
      <w:autoSpaceDE w:val="0"/>
      <w:autoSpaceDN w:val="0"/>
      <w:adjustRightInd w:val="0"/>
    </w:pPr>
    <w:rPr>
      <w:rFonts w:ascii="Arial" w:eastAsia="Calibri" w:hAnsi="Arial" w:cs="Arial"/>
      <w:color w:val="000000"/>
      <w:sz w:val="24"/>
      <w:szCs w:val="24"/>
    </w:rPr>
  </w:style>
  <w:style w:type="character" w:styleId="Hyperlink">
    <w:name w:val="Hyperlink"/>
    <w:uiPriority w:val="99"/>
    <w:rsid w:val="00DF7797"/>
    <w:rPr>
      <w:color w:val="0000FF"/>
      <w:u w:val="single"/>
    </w:rPr>
  </w:style>
  <w:style w:type="paragraph" w:customStyle="1" w:styleId="ColourfulListAccent11">
    <w:name w:val="Colourful List – Accent 11"/>
    <w:basedOn w:val="Normal"/>
    <w:uiPriority w:val="34"/>
    <w:qFormat/>
    <w:rsid w:val="00DF7797"/>
    <w:pPr>
      <w:widowControl/>
      <w:autoSpaceDE w:val="0"/>
      <w:autoSpaceDN w:val="0"/>
      <w:ind w:left="720"/>
    </w:pPr>
    <w:rPr>
      <w:rFonts w:eastAsia="SimSun"/>
      <w:snapToGrid/>
      <w:sz w:val="22"/>
      <w:szCs w:val="22"/>
      <w:lang w:val="en-GB" w:eastAsia="zh-CN"/>
    </w:rPr>
  </w:style>
  <w:style w:type="paragraph" w:styleId="NormalWeb">
    <w:name w:val="Normal (Web)"/>
    <w:basedOn w:val="Normal"/>
    <w:uiPriority w:val="99"/>
    <w:unhideWhenUsed/>
    <w:rsid w:val="00DF7797"/>
    <w:pPr>
      <w:widowControl/>
    </w:pPr>
    <w:rPr>
      <w:rFonts w:eastAsia="Calibri"/>
      <w:snapToGrid/>
      <w:szCs w:val="24"/>
      <w:lang w:val="en-GB" w:eastAsia="en-GB"/>
    </w:rPr>
  </w:style>
  <w:style w:type="character" w:styleId="Strong">
    <w:name w:val="Strong"/>
    <w:uiPriority w:val="22"/>
    <w:qFormat/>
    <w:rsid w:val="00DF7797"/>
    <w:rPr>
      <w:b/>
      <w:bCs/>
    </w:rPr>
  </w:style>
  <w:style w:type="paragraph" w:styleId="PlainText">
    <w:name w:val="Plain Text"/>
    <w:basedOn w:val="Normal"/>
    <w:link w:val="PlainTextChar"/>
    <w:uiPriority w:val="99"/>
    <w:unhideWhenUsed/>
    <w:rsid w:val="00DF7797"/>
    <w:pPr>
      <w:widowControl/>
    </w:pPr>
    <w:rPr>
      <w:rFonts w:ascii="Consolas" w:eastAsia="Calibri" w:hAnsi="Consolas"/>
      <w:snapToGrid/>
      <w:sz w:val="21"/>
      <w:szCs w:val="21"/>
      <w:lang w:val="en-GB" w:eastAsia="en-GB"/>
    </w:rPr>
  </w:style>
  <w:style w:type="character" w:customStyle="1" w:styleId="PlainTextChar">
    <w:name w:val="Plain Text Char"/>
    <w:link w:val="PlainText"/>
    <w:uiPriority w:val="99"/>
    <w:rsid w:val="00DF7797"/>
    <w:rPr>
      <w:rFonts w:ascii="Consolas" w:eastAsia="Calibri" w:hAnsi="Consolas" w:cs="Times New Roman"/>
      <w:sz w:val="21"/>
      <w:szCs w:val="21"/>
      <w:lang w:val="en-GB" w:eastAsia="en-GB"/>
    </w:rPr>
  </w:style>
  <w:style w:type="paragraph" w:customStyle="1" w:styleId="Pa2">
    <w:name w:val="Pa2"/>
    <w:basedOn w:val="Default"/>
    <w:next w:val="Default"/>
    <w:uiPriority w:val="99"/>
    <w:rsid w:val="00DF7797"/>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20BE7"/>
    <w:pPr>
      <w:widowControl/>
      <w:numPr>
        <w:numId w:val="11"/>
      </w:numPr>
    </w:pPr>
    <w:rPr>
      <w:rFonts w:ascii="Tahoma" w:hAnsi="Tahoma"/>
      <w:snapToGrid/>
      <w:color w:val="000000"/>
      <w:sz w:val="20"/>
      <w:lang w:val="x-none" w:eastAsia="x-none"/>
    </w:rPr>
  </w:style>
  <w:style w:type="paragraph" w:customStyle="1" w:styleId="Bulletsspaced-lastbullet">
    <w:name w:val="Bullets (spaced) - last bullet"/>
    <w:basedOn w:val="Bulletsspaced"/>
    <w:next w:val="Normal"/>
    <w:link w:val="Bulletsspaced-lastbulletChar"/>
    <w:uiPriority w:val="99"/>
    <w:rsid w:val="00DF7797"/>
  </w:style>
  <w:style w:type="character" w:customStyle="1" w:styleId="BulletsspacedChar">
    <w:name w:val="Bullets (spaced) Char"/>
    <w:link w:val="Bulletsspaced"/>
    <w:uiPriority w:val="99"/>
    <w:locked/>
    <w:rsid w:val="00120BE7"/>
    <w:rPr>
      <w:rFonts w:ascii="Tahoma" w:eastAsia="Times New Roman" w:hAnsi="Tahoma"/>
      <w:color w:val="000000"/>
      <w:lang w:val="x-none" w:eastAsia="x-none"/>
    </w:rPr>
  </w:style>
  <w:style w:type="character" w:customStyle="1" w:styleId="Bulletsspaced-lastbulletChar">
    <w:name w:val="Bullets (spaced) - last bullet Char"/>
    <w:link w:val="Bulletsspaced-lastbullet"/>
    <w:uiPriority w:val="99"/>
    <w:locked/>
    <w:rsid w:val="00DF7797"/>
    <w:rPr>
      <w:rFonts w:ascii="Tahoma" w:eastAsia="Times New Roman" w:hAnsi="Tahoma"/>
      <w:color w:val="000000"/>
      <w:lang w:val="x-none" w:eastAsia="x-none"/>
    </w:rPr>
  </w:style>
  <w:style w:type="paragraph" w:customStyle="1" w:styleId="Numberedparagraph">
    <w:name w:val="Numbered paragraph"/>
    <w:basedOn w:val="Normal"/>
    <w:link w:val="NumberedparagraphChar"/>
    <w:autoRedefine/>
    <w:uiPriority w:val="99"/>
    <w:rsid w:val="00307F03"/>
    <w:pPr>
      <w:widowControl/>
      <w:ind w:left="709" w:hanging="709"/>
      <w:contextualSpacing/>
    </w:pPr>
    <w:rPr>
      <w:rFonts w:cs="Arial"/>
      <w:b/>
      <w:snapToGrid/>
      <w:color w:val="000000"/>
      <w:sz w:val="28"/>
      <w:szCs w:val="24"/>
      <w:lang w:val="x-none" w:eastAsia="x-none"/>
    </w:rPr>
  </w:style>
  <w:style w:type="character" w:customStyle="1" w:styleId="NumberedparagraphChar">
    <w:name w:val="Numbered paragraph Char"/>
    <w:link w:val="Numberedparagraph"/>
    <w:uiPriority w:val="99"/>
    <w:locked/>
    <w:rsid w:val="00307F03"/>
    <w:rPr>
      <w:rFonts w:ascii="Arial" w:eastAsia="Times New Roman" w:hAnsi="Arial" w:cs="Arial"/>
      <w:b/>
      <w:color w:val="000000"/>
      <w:sz w:val="28"/>
      <w:szCs w:val="24"/>
      <w:lang w:val="x-none" w:eastAsia="x-none"/>
    </w:rPr>
  </w:style>
  <w:style w:type="character" w:styleId="CommentReference">
    <w:name w:val="annotation reference"/>
    <w:uiPriority w:val="99"/>
    <w:semiHidden/>
    <w:unhideWhenUsed/>
    <w:rsid w:val="00DF7797"/>
    <w:rPr>
      <w:sz w:val="18"/>
      <w:szCs w:val="18"/>
    </w:rPr>
  </w:style>
  <w:style w:type="paragraph" w:styleId="CommentText">
    <w:name w:val="annotation text"/>
    <w:basedOn w:val="Normal"/>
    <w:link w:val="CommentTextChar"/>
    <w:uiPriority w:val="99"/>
    <w:semiHidden/>
    <w:unhideWhenUsed/>
    <w:rsid w:val="00DF7797"/>
    <w:rPr>
      <w:szCs w:val="24"/>
    </w:rPr>
  </w:style>
  <w:style w:type="character" w:customStyle="1" w:styleId="CommentTextChar">
    <w:name w:val="Comment Text Char"/>
    <w:link w:val="CommentText"/>
    <w:uiPriority w:val="99"/>
    <w:semiHidden/>
    <w:rsid w:val="00DF7797"/>
    <w:rPr>
      <w:rFonts w:ascii="Times New Roman" w:eastAsia="Times New Roman" w:hAnsi="Times New Roman" w:cs="Times New Roman"/>
      <w:snapToGrid w:val="0"/>
    </w:rPr>
  </w:style>
  <w:style w:type="paragraph" w:styleId="CommentSubject">
    <w:name w:val="annotation subject"/>
    <w:basedOn w:val="CommentText"/>
    <w:next w:val="CommentText"/>
    <w:link w:val="CommentSubjectChar"/>
    <w:uiPriority w:val="99"/>
    <w:semiHidden/>
    <w:unhideWhenUsed/>
    <w:rsid w:val="00DF7797"/>
    <w:rPr>
      <w:b/>
      <w:bCs/>
      <w:sz w:val="20"/>
      <w:szCs w:val="20"/>
    </w:rPr>
  </w:style>
  <w:style w:type="character" w:customStyle="1" w:styleId="CommentSubjectChar">
    <w:name w:val="Comment Subject Char"/>
    <w:link w:val="CommentSubject"/>
    <w:uiPriority w:val="99"/>
    <w:semiHidden/>
    <w:rsid w:val="00DF7797"/>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DF7797"/>
    <w:rPr>
      <w:rFonts w:ascii="Lucida Grande" w:hAnsi="Lucida Grande" w:cs="Lucida Grande"/>
      <w:sz w:val="18"/>
      <w:szCs w:val="18"/>
    </w:rPr>
  </w:style>
  <w:style w:type="character" w:customStyle="1" w:styleId="BalloonTextChar">
    <w:name w:val="Balloon Text Char"/>
    <w:link w:val="BalloonText"/>
    <w:uiPriority w:val="99"/>
    <w:semiHidden/>
    <w:rsid w:val="00DF7797"/>
    <w:rPr>
      <w:rFonts w:ascii="Lucida Grande" w:eastAsia="Times New Roman" w:hAnsi="Lucida Grande" w:cs="Lucida Grande"/>
      <w:snapToGrid w:val="0"/>
      <w:sz w:val="18"/>
      <w:szCs w:val="18"/>
    </w:rPr>
  </w:style>
  <w:style w:type="character" w:styleId="FollowedHyperlink">
    <w:name w:val="FollowedHyperlink"/>
    <w:uiPriority w:val="99"/>
    <w:semiHidden/>
    <w:unhideWhenUsed/>
    <w:rsid w:val="00DF7797"/>
    <w:rPr>
      <w:color w:val="800080"/>
      <w:u w:val="single"/>
    </w:rPr>
  </w:style>
  <w:style w:type="character" w:customStyle="1" w:styleId="Heading3Char">
    <w:name w:val="Heading 3 Char"/>
    <w:link w:val="Heading3"/>
    <w:uiPriority w:val="9"/>
    <w:rsid w:val="00580996"/>
    <w:rPr>
      <w:rFonts w:ascii="Arial" w:eastAsia="Times New Roman" w:hAnsi="Arial" w:cs="Arial"/>
      <w:b/>
      <w:bCs/>
      <w:sz w:val="24"/>
      <w:szCs w:val="22"/>
    </w:rPr>
  </w:style>
  <w:style w:type="table" w:styleId="TableGrid">
    <w:name w:val="Table Grid"/>
    <w:basedOn w:val="TableNormal"/>
    <w:uiPriority w:val="39"/>
    <w:rsid w:val="00BA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640"/>
    <w:pPr>
      <w:tabs>
        <w:tab w:val="center" w:pos="4513"/>
        <w:tab w:val="right" w:pos="9026"/>
      </w:tabs>
    </w:pPr>
  </w:style>
  <w:style w:type="character" w:customStyle="1" w:styleId="HeaderChar">
    <w:name w:val="Header Char"/>
    <w:link w:val="Header"/>
    <w:uiPriority w:val="99"/>
    <w:rsid w:val="00A92640"/>
    <w:rPr>
      <w:rFonts w:ascii="Times New Roman" w:eastAsia="Times New Roman" w:hAnsi="Times New Roman" w:cs="Times New Roman"/>
      <w:snapToGrid w:val="0"/>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A02112"/>
    <w:pPr>
      <w:ind w:left="720"/>
    </w:pPr>
  </w:style>
  <w:style w:type="paragraph" w:customStyle="1" w:styleId="Pa16">
    <w:name w:val="Pa16"/>
    <w:basedOn w:val="Default"/>
    <w:next w:val="Default"/>
    <w:uiPriority w:val="99"/>
    <w:rsid w:val="00213642"/>
    <w:pPr>
      <w:spacing w:line="241" w:lineRule="atLeast"/>
    </w:pPr>
    <w:rPr>
      <w:rFonts w:ascii="Century Gothic" w:eastAsia="MS Mincho" w:hAnsi="Century Gothic" w:cs="Times New Roman"/>
      <w:color w:val="auto"/>
    </w:rPr>
  </w:style>
  <w:style w:type="character" w:customStyle="1" w:styleId="A16">
    <w:name w:val="A16"/>
    <w:uiPriority w:val="99"/>
    <w:rsid w:val="00213642"/>
    <w:rPr>
      <w:rFonts w:cs="Century Gothic"/>
      <w:color w:val="000000"/>
      <w:sz w:val="18"/>
      <w:szCs w:val="18"/>
    </w:rPr>
  </w:style>
  <w:style w:type="character" w:customStyle="1" w:styleId="A24">
    <w:name w:val="A24"/>
    <w:uiPriority w:val="99"/>
    <w:rsid w:val="00213642"/>
    <w:rPr>
      <w:rFonts w:cs="Century Gothic"/>
      <w:b/>
      <w:bCs/>
      <w:color w:val="000000"/>
      <w:sz w:val="10"/>
      <w:szCs w:val="10"/>
    </w:rPr>
  </w:style>
  <w:style w:type="paragraph" w:customStyle="1" w:styleId="Pa9">
    <w:name w:val="Pa9"/>
    <w:basedOn w:val="Default"/>
    <w:next w:val="Default"/>
    <w:uiPriority w:val="99"/>
    <w:rsid w:val="00213642"/>
    <w:pPr>
      <w:spacing w:line="241" w:lineRule="atLeast"/>
    </w:pPr>
    <w:rPr>
      <w:rFonts w:ascii="Century Gothic" w:eastAsia="MS Mincho" w:hAnsi="Century Gothic" w:cs="Times New Roman"/>
      <w:color w:val="auto"/>
    </w:rPr>
  </w:style>
  <w:style w:type="paragraph" w:customStyle="1" w:styleId="Pa17">
    <w:name w:val="Pa17"/>
    <w:basedOn w:val="Default"/>
    <w:next w:val="Default"/>
    <w:uiPriority w:val="99"/>
    <w:rsid w:val="003214DF"/>
    <w:pPr>
      <w:spacing w:line="211" w:lineRule="atLeast"/>
    </w:pPr>
    <w:rPr>
      <w:rFonts w:ascii="Century Gothic" w:eastAsia="MS Mincho" w:hAnsi="Century Gothic" w:cs="Times New Roman"/>
      <w:color w:val="auto"/>
    </w:rPr>
  </w:style>
  <w:style w:type="character" w:customStyle="1" w:styleId="A3">
    <w:name w:val="A3"/>
    <w:uiPriority w:val="99"/>
    <w:rsid w:val="003214DF"/>
    <w:rPr>
      <w:rFonts w:cs="Century Gothic"/>
      <w:color w:val="000000"/>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0055CB"/>
    <w:rPr>
      <w:rFonts w:ascii="Times New Roman" w:eastAsia="Times New Roman" w:hAnsi="Times New Roman"/>
      <w:snapToGrid w:val="0"/>
      <w:sz w:val="24"/>
      <w:lang w:val="en-US" w:eastAsia="en-US"/>
    </w:rPr>
  </w:style>
  <w:style w:type="character" w:customStyle="1" w:styleId="lead">
    <w:name w:val="lead"/>
    <w:basedOn w:val="DefaultParagraphFont"/>
    <w:rsid w:val="00AA199C"/>
  </w:style>
  <w:style w:type="character" w:customStyle="1" w:styleId="UnresolvedMention1">
    <w:name w:val="Unresolved Mention1"/>
    <w:basedOn w:val="DefaultParagraphFont"/>
    <w:uiPriority w:val="99"/>
    <w:semiHidden/>
    <w:unhideWhenUsed/>
    <w:rsid w:val="00B80814"/>
    <w:rPr>
      <w:color w:val="605E5C"/>
      <w:shd w:val="clear" w:color="auto" w:fill="E1DFDD"/>
    </w:rPr>
  </w:style>
  <w:style w:type="character" w:customStyle="1" w:styleId="Heading2Char">
    <w:name w:val="Heading 2 Char"/>
    <w:basedOn w:val="DefaultParagraphFont"/>
    <w:link w:val="Heading2"/>
    <w:uiPriority w:val="9"/>
    <w:rsid w:val="00047873"/>
    <w:rPr>
      <w:rFonts w:ascii="Arial" w:eastAsiaTheme="majorEastAsia" w:hAnsi="Arial" w:cstheme="majorBidi"/>
      <w:b/>
      <w:snapToGrid w:val="0"/>
      <w:sz w:val="28"/>
      <w:szCs w:val="26"/>
      <w:lang w:val="en-US" w:eastAsia="en-US"/>
    </w:rPr>
  </w:style>
  <w:style w:type="character" w:styleId="UnresolvedMention">
    <w:name w:val="Unresolved Mention"/>
    <w:basedOn w:val="DefaultParagraphFont"/>
    <w:uiPriority w:val="99"/>
    <w:semiHidden/>
    <w:unhideWhenUsed/>
    <w:rsid w:val="00BE1826"/>
    <w:rPr>
      <w:color w:val="605E5C"/>
      <w:shd w:val="clear" w:color="auto" w:fill="E1DFDD"/>
    </w:rPr>
  </w:style>
  <w:style w:type="character" w:customStyle="1" w:styleId="Heading1Char">
    <w:name w:val="Heading 1 Char"/>
    <w:basedOn w:val="DefaultParagraphFont"/>
    <w:link w:val="Heading1"/>
    <w:uiPriority w:val="9"/>
    <w:rsid w:val="00047873"/>
    <w:rPr>
      <w:rFonts w:ascii="Arial" w:eastAsiaTheme="majorEastAsia" w:hAnsi="Arial" w:cstheme="majorBidi"/>
      <w:b/>
      <w:snapToGrid w:val="0"/>
      <w:sz w:val="32"/>
      <w:szCs w:val="32"/>
      <w:lang w:val="en-US" w:eastAsia="en-US"/>
    </w:rPr>
  </w:style>
  <w:style w:type="paragraph" w:styleId="TOCHeading">
    <w:name w:val="TOC Heading"/>
    <w:basedOn w:val="Heading1"/>
    <w:next w:val="Normal"/>
    <w:uiPriority w:val="39"/>
    <w:unhideWhenUsed/>
    <w:qFormat/>
    <w:rsid w:val="00CB4D51"/>
    <w:pPr>
      <w:widowControl/>
      <w:spacing w:line="259" w:lineRule="auto"/>
      <w:outlineLvl w:val="9"/>
    </w:pPr>
    <w:rPr>
      <w:rFonts w:asciiTheme="majorHAnsi" w:hAnsiTheme="majorHAnsi"/>
      <w:b w:val="0"/>
      <w:snapToGrid/>
      <w:color w:val="2F5496" w:themeColor="accent1" w:themeShade="BF"/>
    </w:rPr>
  </w:style>
  <w:style w:type="paragraph" w:styleId="TOC1">
    <w:name w:val="toc 1"/>
    <w:basedOn w:val="Normal"/>
    <w:next w:val="Normal"/>
    <w:autoRedefine/>
    <w:uiPriority w:val="39"/>
    <w:unhideWhenUsed/>
    <w:rsid w:val="00CB4D51"/>
    <w:pPr>
      <w:spacing w:after="100"/>
    </w:pPr>
  </w:style>
  <w:style w:type="paragraph" w:styleId="TOC2">
    <w:name w:val="toc 2"/>
    <w:basedOn w:val="Normal"/>
    <w:next w:val="Normal"/>
    <w:autoRedefine/>
    <w:uiPriority w:val="39"/>
    <w:unhideWhenUsed/>
    <w:rsid w:val="00CB4D51"/>
    <w:pPr>
      <w:spacing w:after="100"/>
      <w:ind w:left="240"/>
    </w:pPr>
  </w:style>
  <w:style w:type="paragraph" w:styleId="TOC3">
    <w:name w:val="toc 3"/>
    <w:basedOn w:val="Normal"/>
    <w:next w:val="Normal"/>
    <w:autoRedefine/>
    <w:uiPriority w:val="39"/>
    <w:unhideWhenUsed/>
    <w:rsid w:val="00CB4D51"/>
    <w:pPr>
      <w:spacing w:after="100"/>
      <w:ind w:left="480"/>
    </w:pPr>
  </w:style>
  <w:style w:type="paragraph" w:styleId="Revision">
    <w:name w:val="Revision"/>
    <w:hidden/>
    <w:uiPriority w:val="99"/>
    <w:semiHidden/>
    <w:rsid w:val="00197701"/>
    <w:rPr>
      <w:rFonts w:ascii="Arial" w:eastAsia="Times New Roman"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6429">
      <w:bodyDiv w:val="1"/>
      <w:marLeft w:val="0"/>
      <w:marRight w:val="0"/>
      <w:marTop w:val="0"/>
      <w:marBottom w:val="0"/>
      <w:divBdr>
        <w:top w:val="none" w:sz="0" w:space="0" w:color="auto"/>
        <w:left w:val="none" w:sz="0" w:space="0" w:color="auto"/>
        <w:bottom w:val="none" w:sz="0" w:space="0" w:color="auto"/>
        <w:right w:val="none" w:sz="0" w:space="0" w:color="auto"/>
      </w:divBdr>
      <w:divsChild>
        <w:div w:id="863593816">
          <w:marLeft w:val="0"/>
          <w:marRight w:val="0"/>
          <w:marTop w:val="0"/>
          <w:marBottom w:val="0"/>
          <w:divBdr>
            <w:top w:val="none" w:sz="0" w:space="0" w:color="auto"/>
            <w:left w:val="none" w:sz="0" w:space="0" w:color="auto"/>
            <w:bottom w:val="none" w:sz="0" w:space="0" w:color="auto"/>
            <w:right w:val="none" w:sz="0" w:space="0" w:color="auto"/>
          </w:divBdr>
          <w:divsChild>
            <w:div w:id="2043433314">
              <w:marLeft w:val="0"/>
              <w:marRight w:val="0"/>
              <w:marTop w:val="0"/>
              <w:marBottom w:val="0"/>
              <w:divBdr>
                <w:top w:val="none" w:sz="0" w:space="0" w:color="auto"/>
                <w:left w:val="none" w:sz="0" w:space="0" w:color="auto"/>
                <w:bottom w:val="none" w:sz="0" w:space="0" w:color="auto"/>
                <w:right w:val="none" w:sz="0" w:space="0" w:color="auto"/>
              </w:divBdr>
              <w:divsChild>
                <w:div w:id="860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8817">
      <w:bodyDiv w:val="1"/>
      <w:marLeft w:val="0"/>
      <w:marRight w:val="0"/>
      <w:marTop w:val="0"/>
      <w:marBottom w:val="0"/>
      <w:divBdr>
        <w:top w:val="none" w:sz="0" w:space="0" w:color="auto"/>
        <w:left w:val="none" w:sz="0" w:space="0" w:color="auto"/>
        <w:bottom w:val="none" w:sz="0" w:space="0" w:color="auto"/>
        <w:right w:val="none" w:sz="0" w:space="0" w:color="auto"/>
      </w:divBdr>
    </w:div>
    <w:div w:id="263267929">
      <w:bodyDiv w:val="1"/>
      <w:marLeft w:val="0"/>
      <w:marRight w:val="0"/>
      <w:marTop w:val="0"/>
      <w:marBottom w:val="0"/>
      <w:divBdr>
        <w:top w:val="none" w:sz="0" w:space="0" w:color="auto"/>
        <w:left w:val="none" w:sz="0" w:space="0" w:color="auto"/>
        <w:bottom w:val="none" w:sz="0" w:space="0" w:color="auto"/>
        <w:right w:val="none" w:sz="0" w:space="0" w:color="auto"/>
      </w:divBdr>
      <w:divsChild>
        <w:div w:id="1693799160">
          <w:marLeft w:val="0"/>
          <w:marRight w:val="0"/>
          <w:marTop w:val="0"/>
          <w:marBottom w:val="0"/>
          <w:divBdr>
            <w:top w:val="none" w:sz="0" w:space="0" w:color="auto"/>
            <w:left w:val="none" w:sz="0" w:space="0" w:color="auto"/>
            <w:bottom w:val="none" w:sz="0" w:space="0" w:color="auto"/>
            <w:right w:val="none" w:sz="0" w:space="0" w:color="auto"/>
          </w:divBdr>
          <w:divsChild>
            <w:div w:id="42675396">
              <w:marLeft w:val="0"/>
              <w:marRight w:val="0"/>
              <w:marTop w:val="0"/>
              <w:marBottom w:val="0"/>
              <w:divBdr>
                <w:top w:val="none" w:sz="0" w:space="0" w:color="auto"/>
                <w:left w:val="none" w:sz="0" w:space="0" w:color="auto"/>
                <w:bottom w:val="none" w:sz="0" w:space="0" w:color="auto"/>
                <w:right w:val="none" w:sz="0" w:space="0" w:color="auto"/>
              </w:divBdr>
              <w:divsChild>
                <w:div w:id="909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65797">
      <w:bodyDiv w:val="1"/>
      <w:marLeft w:val="0"/>
      <w:marRight w:val="0"/>
      <w:marTop w:val="0"/>
      <w:marBottom w:val="0"/>
      <w:divBdr>
        <w:top w:val="none" w:sz="0" w:space="0" w:color="auto"/>
        <w:left w:val="none" w:sz="0" w:space="0" w:color="auto"/>
        <w:bottom w:val="none" w:sz="0" w:space="0" w:color="auto"/>
        <w:right w:val="none" w:sz="0" w:space="0" w:color="auto"/>
      </w:divBdr>
    </w:div>
    <w:div w:id="371267821">
      <w:bodyDiv w:val="1"/>
      <w:marLeft w:val="0"/>
      <w:marRight w:val="0"/>
      <w:marTop w:val="0"/>
      <w:marBottom w:val="0"/>
      <w:divBdr>
        <w:top w:val="none" w:sz="0" w:space="0" w:color="auto"/>
        <w:left w:val="none" w:sz="0" w:space="0" w:color="auto"/>
        <w:bottom w:val="none" w:sz="0" w:space="0" w:color="auto"/>
        <w:right w:val="none" w:sz="0" w:space="0" w:color="auto"/>
      </w:divBdr>
    </w:div>
    <w:div w:id="439838170">
      <w:bodyDiv w:val="1"/>
      <w:marLeft w:val="0"/>
      <w:marRight w:val="0"/>
      <w:marTop w:val="0"/>
      <w:marBottom w:val="0"/>
      <w:divBdr>
        <w:top w:val="none" w:sz="0" w:space="0" w:color="auto"/>
        <w:left w:val="none" w:sz="0" w:space="0" w:color="auto"/>
        <w:bottom w:val="none" w:sz="0" w:space="0" w:color="auto"/>
        <w:right w:val="none" w:sz="0" w:space="0" w:color="auto"/>
      </w:divBdr>
    </w:div>
    <w:div w:id="493380348">
      <w:bodyDiv w:val="1"/>
      <w:marLeft w:val="0"/>
      <w:marRight w:val="0"/>
      <w:marTop w:val="0"/>
      <w:marBottom w:val="0"/>
      <w:divBdr>
        <w:top w:val="none" w:sz="0" w:space="0" w:color="auto"/>
        <w:left w:val="none" w:sz="0" w:space="0" w:color="auto"/>
        <w:bottom w:val="none" w:sz="0" w:space="0" w:color="auto"/>
        <w:right w:val="none" w:sz="0" w:space="0" w:color="auto"/>
      </w:divBdr>
      <w:divsChild>
        <w:div w:id="679433940">
          <w:marLeft w:val="0"/>
          <w:marRight w:val="0"/>
          <w:marTop w:val="0"/>
          <w:marBottom w:val="0"/>
          <w:divBdr>
            <w:top w:val="none" w:sz="0" w:space="0" w:color="auto"/>
            <w:left w:val="none" w:sz="0" w:space="0" w:color="auto"/>
            <w:bottom w:val="none" w:sz="0" w:space="0" w:color="auto"/>
            <w:right w:val="none" w:sz="0" w:space="0" w:color="auto"/>
          </w:divBdr>
          <w:divsChild>
            <w:div w:id="1683628002">
              <w:marLeft w:val="0"/>
              <w:marRight w:val="0"/>
              <w:marTop w:val="0"/>
              <w:marBottom w:val="0"/>
              <w:divBdr>
                <w:top w:val="none" w:sz="0" w:space="0" w:color="auto"/>
                <w:left w:val="none" w:sz="0" w:space="0" w:color="auto"/>
                <w:bottom w:val="none" w:sz="0" w:space="0" w:color="auto"/>
                <w:right w:val="none" w:sz="0" w:space="0" w:color="auto"/>
              </w:divBdr>
              <w:divsChild>
                <w:div w:id="4772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2098">
      <w:bodyDiv w:val="1"/>
      <w:marLeft w:val="0"/>
      <w:marRight w:val="0"/>
      <w:marTop w:val="0"/>
      <w:marBottom w:val="0"/>
      <w:divBdr>
        <w:top w:val="none" w:sz="0" w:space="0" w:color="auto"/>
        <w:left w:val="none" w:sz="0" w:space="0" w:color="auto"/>
        <w:bottom w:val="none" w:sz="0" w:space="0" w:color="auto"/>
        <w:right w:val="none" w:sz="0" w:space="0" w:color="auto"/>
      </w:divBdr>
      <w:divsChild>
        <w:div w:id="736518565">
          <w:marLeft w:val="0"/>
          <w:marRight w:val="0"/>
          <w:marTop w:val="0"/>
          <w:marBottom w:val="0"/>
          <w:divBdr>
            <w:top w:val="none" w:sz="0" w:space="0" w:color="auto"/>
            <w:left w:val="none" w:sz="0" w:space="0" w:color="auto"/>
            <w:bottom w:val="none" w:sz="0" w:space="0" w:color="auto"/>
            <w:right w:val="none" w:sz="0" w:space="0" w:color="auto"/>
          </w:divBdr>
          <w:divsChild>
            <w:div w:id="45689930">
              <w:marLeft w:val="0"/>
              <w:marRight w:val="0"/>
              <w:marTop w:val="0"/>
              <w:marBottom w:val="0"/>
              <w:divBdr>
                <w:top w:val="none" w:sz="0" w:space="0" w:color="auto"/>
                <w:left w:val="none" w:sz="0" w:space="0" w:color="auto"/>
                <w:bottom w:val="none" w:sz="0" w:space="0" w:color="auto"/>
                <w:right w:val="none" w:sz="0" w:space="0" w:color="auto"/>
              </w:divBdr>
              <w:divsChild>
                <w:div w:id="13829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95716">
      <w:bodyDiv w:val="1"/>
      <w:marLeft w:val="0"/>
      <w:marRight w:val="0"/>
      <w:marTop w:val="0"/>
      <w:marBottom w:val="0"/>
      <w:divBdr>
        <w:top w:val="none" w:sz="0" w:space="0" w:color="auto"/>
        <w:left w:val="none" w:sz="0" w:space="0" w:color="auto"/>
        <w:bottom w:val="none" w:sz="0" w:space="0" w:color="auto"/>
        <w:right w:val="none" w:sz="0" w:space="0" w:color="auto"/>
      </w:divBdr>
    </w:div>
    <w:div w:id="777606045">
      <w:bodyDiv w:val="1"/>
      <w:marLeft w:val="0"/>
      <w:marRight w:val="0"/>
      <w:marTop w:val="0"/>
      <w:marBottom w:val="0"/>
      <w:divBdr>
        <w:top w:val="none" w:sz="0" w:space="0" w:color="auto"/>
        <w:left w:val="none" w:sz="0" w:space="0" w:color="auto"/>
        <w:bottom w:val="none" w:sz="0" w:space="0" w:color="auto"/>
        <w:right w:val="none" w:sz="0" w:space="0" w:color="auto"/>
      </w:divBdr>
      <w:divsChild>
        <w:div w:id="844440193">
          <w:marLeft w:val="0"/>
          <w:marRight w:val="0"/>
          <w:marTop w:val="0"/>
          <w:marBottom w:val="0"/>
          <w:divBdr>
            <w:top w:val="none" w:sz="0" w:space="0" w:color="auto"/>
            <w:left w:val="none" w:sz="0" w:space="0" w:color="auto"/>
            <w:bottom w:val="none" w:sz="0" w:space="0" w:color="auto"/>
            <w:right w:val="none" w:sz="0" w:space="0" w:color="auto"/>
          </w:divBdr>
          <w:divsChild>
            <w:div w:id="376514267">
              <w:marLeft w:val="0"/>
              <w:marRight w:val="0"/>
              <w:marTop w:val="0"/>
              <w:marBottom w:val="0"/>
              <w:divBdr>
                <w:top w:val="none" w:sz="0" w:space="0" w:color="auto"/>
                <w:left w:val="none" w:sz="0" w:space="0" w:color="auto"/>
                <w:bottom w:val="none" w:sz="0" w:space="0" w:color="auto"/>
                <w:right w:val="none" w:sz="0" w:space="0" w:color="auto"/>
              </w:divBdr>
              <w:divsChild>
                <w:div w:id="19977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87064">
      <w:bodyDiv w:val="1"/>
      <w:marLeft w:val="0"/>
      <w:marRight w:val="0"/>
      <w:marTop w:val="0"/>
      <w:marBottom w:val="0"/>
      <w:divBdr>
        <w:top w:val="none" w:sz="0" w:space="0" w:color="auto"/>
        <w:left w:val="none" w:sz="0" w:space="0" w:color="auto"/>
        <w:bottom w:val="none" w:sz="0" w:space="0" w:color="auto"/>
        <w:right w:val="none" w:sz="0" w:space="0" w:color="auto"/>
      </w:divBdr>
      <w:divsChild>
        <w:div w:id="2135176194">
          <w:marLeft w:val="0"/>
          <w:marRight w:val="0"/>
          <w:marTop w:val="0"/>
          <w:marBottom w:val="0"/>
          <w:divBdr>
            <w:top w:val="none" w:sz="0" w:space="0" w:color="auto"/>
            <w:left w:val="none" w:sz="0" w:space="0" w:color="auto"/>
            <w:bottom w:val="none" w:sz="0" w:space="0" w:color="auto"/>
            <w:right w:val="none" w:sz="0" w:space="0" w:color="auto"/>
          </w:divBdr>
          <w:divsChild>
            <w:div w:id="665715392">
              <w:marLeft w:val="0"/>
              <w:marRight w:val="0"/>
              <w:marTop w:val="0"/>
              <w:marBottom w:val="0"/>
              <w:divBdr>
                <w:top w:val="none" w:sz="0" w:space="0" w:color="auto"/>
                <w:left w:val="none" w:sz="0" w:space="0" w:color="auto"/>
                <w:bottom w:val="none" w:sz="0" w:space="0" w:color="auto"/>
                <w:right w:val="none" w:sz="0" w:space="0" w:color="auto"/>
              </w:divBdr>
              <w:divsChild>
                <w:div w:id="27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80036">
      <w:bodyDiv w:val="1"/>
      <w:marLeft w:val="0"/>
      <w:marRight w:val="0"/>
      <w:marTop w:val="0"/>
      <w:marBottom w:val="0"/>
      <w:divBdr>
        <w:top w:val="none" w:sz="0" w:space="0" w:color="auto"/>
        <w:left w:val="none" w:sz="0" w:space="0" w:color="auto"/>
        <w:bottom w:val="none" w:sz="0" w:space="0" w:color="auto"/>
        <w:right w:val="none" w:sz="0" w:space="0" w:color="auto"/>
      </w:divBdr>
    </w:div>
    <w:div w:id="1042285453">
      <w:bodyDiv w:val="1"/>
      <w:marLeft w:val="0"/>
      <w:marRight w:val="0"/>
      <w:marTop w:val="0"/>
      <w:marBottom w:val="0"/>
      <w:divBdr>
        <w:top w:val="none" w:sz="0" w:space="0" w:color="auto"/>
        <w:left w:val="none" w:sz="0" w:space="0" w:color="auto"/>
        <w:bottom w:val="none" w:sz="0" w:space="0" w:color="auto"/>
        <w:right w:val="none" w:sz="0" w:space="0" w:color="auto"/>
      </w:divBdr>
      <w:divsChild>
        <w:div w:id="1114909377">
          <w:marLeft w:val="0"/>
          <w:marRight w:val="0"/>
          <w:marTop w:val="0"/>
          <w:marBottom w:val="0"/>
          <w:divBdr>
            <w:top w:val="none" w:sz="0" w:space="0" w:color="auto"/>
            <w:left w:val="none" w:sz="0" w:space="0" w:color="auto"/>
            <w:bottom w:val="none" w:sz="0" w:space="0" w:color="auto"/>
            <w:right w:val="none" w:sz="0" w:space="0" w:color="auto"/>
          </w:divBdr>
          <w:divsChild>
            <w:div w:id="1678579191">
              <w:marLeft w:val="0"/>
              <w:marRight w:val="0"/>
              <w:marTop w:val="0"/>
              <w:marBottom w:val="0"/>
              <w:divBdr>
                <w:top w:val="none" w:sz="0" w:space="0" w:color="auto"/>
                <w:left w:val="none" w:sz="0" w:space="0" w:color="auto"/>
                <w:bottom w:val="none" w:sz="0" w:space="0" w:color="auto"/>
                <w:right w:val="none" w:sz="0" w:space="0" w:color="auto"/>
              </w:divBdr>
              <w:divsChild>
                <w:div w:id="3202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6350">
      <w:bodyDiv w:val="1"/>
      <w:marLeft w:val="0"/>
      <w:marRight w:val="0"/>
      <w:marTop w:val="0"/>
      <w:marBottom w:val="0"/>
      <w:divBdr>
        <w:top w:val="none" w:sz="0" w:space="0" w:color="auto"/>
        <w:left w:val="none" w:sz="0" w:space="0" w:color="auto"/>
        <w:bottom w:val="none" w:sz="0" w:space="0" w:color="auto"/>
        <w:right w:val="none" w:sz="0" w:space="0" w:color="auto"/>
      </w:divBdr>
    </w:div>
    <w:div w:id="1384600312">
      <w:bodyDiv w:val="1"/>
      <w:marLeft w:val="0"/>
      <w:marRight w:val="0"/>
      <w:marTop w:val="0"/>
      <w:marBottom w:val="0"/>
      <w:divBdr>
        <w:top w:val="none" w:sz="0" w:space="0" w:color="auto"/>
        <w:left w:val="none" w:sz="0" w:space="0" w:color="auto"/>
        <w:bottom w:val="none" w:sz="0" w:space="0" w:color="auto"/>
        <w:right w:val="none" w:sz="0" w:space="0" w:color="auto"/>
      </w:divBdr>
    </w:div>
    <w:div w:id="1448817780">
      <w:bodyDiv w:val="1"/>
      <w:marLeft w:val="0"/>
      <w:marRight w:val="0"/>
      <w:marTop w:val="0"/>
      <w:marBottom w:val="0"/>
      <w:divBdr>
        <w:top w:val="none" w:sz="0" w:space="0" w:color="auto"/>
        <w:left w:val="none" w:sz="0" w:space="0" w:color="auto"/>
        <w:bottom w:val="none" w:sz="0" w:space="0" w:color="auto"/>
        <w:right w:val="none" w:sz="0" w:space="0" w:color="auto"/>
      </w:divBdr>
    </w:div>
    <w:div w:id="1554196880">
      <w:bodyDiv w:val="1"/>
      <w:marLeft w:val="0"/>
      <w:marRight w:val="0"/>
      <w:marTop w:val="0"/>
      <w:marBottom w:val="0"/>
      <w:divBdr>
        <w:top w:val="none" w:sz="0" w:space="0" w:color="auto"/>
        <w:left w:val="none" w:sz="0" w:space="0" w:color="auto"/>
        <w:bottom w:val="none" w:sz="0" w:space="0" w:color="auto"/>
        <w:right w:val="none" w:sz="0" w:space="0" w:color="auto"/>
      </w:divBdr>
      <w:divsChild>
        <w:div w:id="531309573">
          <w:marLeft w:val="0"/>
          <w:marRight w:val="0"/>
          <w:marTop w:val="0"/>
          <w:marBottom w:val="0"/>
          <w:divBdr>
            <w:top w:val="none" w:sz="0" w:space="0" w:color="auto"/>
            <w:left w:val="none" w:sz="0" w:space="0" w:color="auto"/>
            <w:bottom w:val="none" w:sz="0" w:space="0" w:color="auto"/>
            <w:right w:val="none" w:sz="0" w:space="0" w:color="auto"/>
          </w:divBdr>
          <w:divsChild>
            <w:div w:id="1993018780">
              <w:marLeft w:val="0"/>
              <w:marRight w:val="0"/>
              <w:marTop w:val="0"/>
              <w:marBottom w:val="0"/>
              <w:divBdr>
                <w:top w:val="none" w:sz="0" w:space="0" w:color="auto"/>
                <w:left w:val="none" w:sz="0" w:space="0" w:color="auto"/>
                <w:bottom w:val="none" w:sz="0" w:space="0" w:color="auto"/>
                <w:right w:val="none" w:sz="0" w:space="0" w:color="auto"/>
              </w:divBdr>
              <w:divsChild>
                <w:div w:id="2057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6927">
      <w:bodyDiv w:val="1"/>
      <w:marLeft w:val="0"/>
      <w:marRight w:val="0"/>
      <w:marTop w:val="0"/>
      <w:marBottom w:val="0"/>
      <w:divBdr>
        <w:top w:val="none" w:sz="0" w:space="0" w:color="auto"/>
        <w:left w:val="none" w:sz="0" w:space="0" w:color="auto"/>
        <w:bottom w:val="none" w:sz="0" w:space="0" w:color="auto"/>
        <w:right w:val="none" w:sz="0" w:space="0" w:color="auto"/>
      </w:divBdr>
    </w:div>
    <w:div w:id="1740010231">
      <w:bodyDiv w:val="1"/>
      <w:marLeft w:val="0"/>
      <w:marRight w:val="0"/>
      <w:marTop w:val="0"/>
      <w:marBottom w:val="0"/>
      <w:divBdr>
        <w:top w:val="none" w:sz="0" w:space="0" w:color="auto"/>
        <w:left w:val="none" w:sz="0" w:space="0" w:color="auto"/>
        <w:bottom w:val="none" w:sz="0" w:space="0" w:color="auto"/>
        <w:right w:val="none" w:sz="0" w:space="0" w:color="auto"/>
      </w:divBdr>
    </w:div>
    <w:div w:id="1782651927">
      <w:bodyDiv w:val="1"/>
      <w:marLeft w:val="0"/>
      <w:marRight w:val="0"/>
      <w:marTop w:val="0"/>
      <w:marBottom w:val="0"/>
      <w:divBdr>
        <w:top w:val="none" w:sz="0" w:space="0" w:color="auto"/>
        <w:left w:val="none" w:sz="0" w:space="0" w:color="auto"/>
        <w:bottom w:val="none" w:sz="0" w:space="0" w:color="auto"/>
        <w:right w:val="none" w:sz="0" w:space="0" w:color="auto"/>
      </w:divBdr>
      <w:divsChild>
        <w:div w:id="1842625993">
          <w:marLeft w:val="0"/>
          <w:marRight w:val="0"/>
          <w:marTop w:val="0"/>
          <w:marBottom w:val="0"/>
          <w:divBdr>
            <w:top w:val="none" w:sz="0" w:space="0" w:color="auto"/>
            <w:left w:val="none" w:sz="0" w:space="0" w:color="auto"/>
            <w:bottom w:val="none" w:sz="0" w:space="0" w:color="auto"/>
            <w:right w:val="none" w:sz="0" w:space="0" w:color="auto"/>
          </w:divBdr>
          <w:divsChild>
            <w:div w:id="788162333">
              <w:marLeft w:val="0"/>
              <w:marRight w:val="0"/>
              <w:marTop w:val="0"/>
              <w:marBottom w:val="0"/>
              <w:divBdr>
                <w:top w:val="none" w:sz="0" w:space="0" w:color="auto"/>
                <w:left w:val="none" w:sz="0" w:space="0" w:color="auto"/>
                <w:bottom w:val="none" w:sz="0" w:space="0" w:color="auto"/>
                <w:right w:val="none" w:sz="0" w:space="0" w:color="auto"/>
              </w:divBdr>
              <w:divsChild>
                <w:div w:id="20517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3226">
      <w:bodyDiv w:val="1"/>
      <w:marLeft w:val="0"/>
      <w:marRight w:val="0"/>
      <w:marTop w:val="0"/>
      <w:marBottom w:val="0"/>
      <w:divBdr>
        <w:top w:val="none" w:sz="0" w:space="0" w:color="auto"/>
        <w:left w:val="none" w:sz="0" w:space="0" w:color="auto"/>
        <w:bottom w:val="none" w:sz="0" w:space="0" w:color="auto"/>
        <w:right w:val="none" w:sz="0" w:space="0" w:color="auto"/>
      </w:divBdr>
      <w:divsChild>
        <w:div w:id="805896962">
          <w:marLeft w:val="0"/>
          <w:marRight w:val="0"/>
          <w:marTop w:val="0"/>
          <w:marBottom w:val="0"/>
          <w:divBdr>
            <w:top w:val="none" w:sz="0" w:space="0" w:color="auto"/>
            <w:left w:val="none" w:sz="0" w:space="0" w:color="auto"/>
            <w:bottom w:val="none" w:sz="0" w:space="0" w:color="auto"/>
            <w:right w:val="none" w:sz="0" w:space="0" w:color="auto"/>
          </w:divBdr>
          <w:divsChild>
            <w:div w:id="791020902">
              <w:marLeft w:val="0"/>
              <w:marRight w:val="0"/>
              <w:marTop w:val="0"/>
              <w:marBottom w:val="0"/>
              <w:divBdr>
                <w:top w:val="none" w:sz="0" w:space="0" w:color="auto"/>
                <w:left w:val="none" w:sz="0" w:space="0" w:color="auto"/>
                <w:bottom w:val="none" w:sz="0" w:space="0" w:color="auto"/>
                <w:right w:val="none" w:sz="0" w:space="0" w:color="auto"/>
              </w:divBdr>
              <w:divsChild>
                <w:div w:id="1204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755">
      <w:bodyDiv w:val="1"/>
      <w:marLeft w:val="0"/>
      <w:marRight w:val="0"/>
      <w:marTop w:val="0"/>
      <w:marBottom w:val="0"/>
      <w:divBdr>
        <w:top w:val="none" w:sz="0" w:space="0" w:color="auto"/>
        <w:left w:val="none" w:sz="0" w:space="0" w:color="auto"/>
        <w:bottom w:val="none" w:sz="0" w:space="0" w:color="auto"/>
        <w:right w:val="none" w:sz="0" w:space="0" w:color="auto"/>
      </w:divBdr>
      <w:divsChild>
        <w:div w:id="974141707">
          <w:marLeft w:val="0"/>
          <w:marRight w:val="0"/>
          <w:marTop w:val="0"/>
          <w:marBottom w:val="0"/>
          <w:divBdr>
            <w:top w:val="none" w:sz="0" w:space="0" w:color="auto"/>
            <w:left w:val="none" w:sz="0" w:space="0" w:color="auto"/>
            <w:bottom w:val="none" w:sz="0" w:space="0" w:color="auto"/>
            <w:right w:val="none" w:sz="0" w:space="0" w:color="auto"/>
          </w:divBdr>
          <w:divsChild>
            <w:div w:id="1313673962">
              <w:marLeft w:val="0"/>
              <w:marRight w:val="0"/>
              <w:marTop w:val="0"/>
              <w:marBottom w:val="0"/>
              <w:divBdr>
                <w:top w:val="none" w:sz="0" w:space="0" w:color="auto"/>
                <w:left w:val="none" w:sz="0" w:space="0" w:color="auto"/>
                <w:bottom w:val="none" w:sz="0" w:space="0" w:color="auto"/>
                <w:right w:val="none" w:sz="0" w:space="0" w:color="auto"/>
              </w:divBdr>
              <w:divsChild>
                <w:div w:id="28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0496">
      <w:bodyDiv w:val="1"/>
      <w:marLeft w:val="0"/>
      <w:marRight w:val="0"/>
      <w:marTop w:val="0"/>
      <w:marBottom w:val="0"/>
      <w:divBdr>
        <w:top w:val="none" w:sz="0" w:space="0" w:color="auto"/>
        <w:left w:val="none" w:sz="0" w:space="0" w:color="auto"/>
        <w:bottom w:val="none" w:sz="0" w:space="0" w:color="auto"/>
        <w:right w:val="none" w:sz="0" w:space="0" w:color="auto"/>
      </w:divBdr>
      <w:divsChild>
        <w:div w:id="586495770">
          <w:marLeft w:val="0"/>
          <w:marRight w:val="0"/>
          <w:marTop w:val="0"/>
          <w:marBottom w:val="0"/>
          <w:divBdr>
            <w:top w:val="none" w:sz="0" w:space="0" w:color="auto"/>
            <w:left w:val="none" w:sz="0" w:space="0" w:color="auto"/>
            <w:bottom w:val="none" w:sz="0" w:space="0" w:color="auto"/>
            <w:right w:val="none" w:sz="0" w:space="0" w:color="auto"/>
          </w:divBdr>
          <w:divsChild>
            <w:div w:id="2083982081">
              <w:marLeft w:val="0"/>
              <w:marRight w:val="0"/>
              <w:marTop w:val="0"/>
              <w:marBottom w:val="0"/>
              <w:divBdr>
                <w:top w:val="none" w:sz="0" w:space="0" w:color="auto"/>
                <w:left w:val="none" w:sz="0" w:space="0" w:color="auto"/>
                <w:bottom w:val="none" w:sz="0" w:space="0" w:color="auto"/>
                <w:right w:val="none" w:sz="0" w:space="0" w:color="auto"/>
              </w:divBdr>
              <w:divsChild>
                <w:div w:id="5831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QAE@kingston.ac.uk" TargetMode="External"/><Relationship Id="rId3" Type="http://schemas.openxmlformats.org/officeDocument/2006/relationships/customXml" Target="../customXml/item3.xml"/><Relationship Id="rId21" Type="http://schemas.openxmlformats.org/officeDocument/2006/relationships/hyperlink" Target="http://qualifications.pearson.com/en/qualifications/btec-higher-nationals/about/pearson-licence-agreement.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unistats.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sa.ac.uk/collection/c19061" TargetMode="External"/><Relationship Id="rId20" Type="http://schemas.openxmlformats.org/officeDocument/2006/relationships/hyperlink" Target="http://www.ofsted.gov.uk/resources/initial-teacher-education-inspection-handboo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higher-education-consumer-law-advice-for-provider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ofsted.gov.uk/resources/initial-teacher-education-inspection-handboo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the-quality-code" TargetMode="External"/><Relationship Id="rId22" Type="http://schemas.openxmlformats.org/officeDocument/2006/relationships/hyperlink" Target="http://qualifications.pearson.com/en/qualifications/btec-higher-nationals/about/pearson-licence-agre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1058-348F-4D26-945B-32DB6699D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5CB1F-018C-471E-A232-9BD8921055ED}">
  <ds:schemaRefs>
    <ds:schemaRef ds:uri="cca6b130-34ce-479a-80ad-5918b2c7d9b9"/>
    <ds:schemaRef ds:uri="http://purl.org/dc/dcmitype/"/>
    <ds:schemaRef ds:uri="http://purl.org/dc/terms/"/>
    <ds:schemaRef ds:uri="http://schemas.microsoft.com/office/2006/metadata/properties"/>
    <ds:schemaRef ds:uri="3949bc56-6107-4a37-a900-858857adfed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3A012C8-C747-43D9-BED7-DE311240ACD1}">
  <ds:schemaRefs>
    <ds:schemaRef ds:uri="http://schemas.microsoft.com/office/2006/metadata/longProperties"/>
  </ds:schemaRefs>
</ds:datastoreItem>
</file>

<file path=customXml/itemProps4.xml><?xml version="1.0" encoding="utf-8"?>
<ds:datastoreItem xmlns:ds="http://schemas.openxmlformats.org/officeDocument/2006/customXml" ds:itemID="{8E4BE6D6-5216-4B12-A974-121D69702EC1}">
  <ds:schemaRefs>
    <ds:schemaRef ds:uri="http://schemas.microsoft.com/sharepoint/v3/contenttype/forms"/>
  </ds:schemaRefs>
</ds:datastoreItem>
</file>

<file path=customXml/itemProps5.xml><?xml version="1.0" encoding="utf-8"?>
<ds:datastoreItem xmlns:ds="http://schemas.openxmlformats.org/officeDocument/2006/customXml" ds:itemID="{44CA2848-2739-4AB5-AD9B-BDBBB1BC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4702</Words>
  <Characters>26805</Characters>
  <Application>Microsoft Office Word</Application>
  <DocSecurity>0</DocSecurity>
  <Lines>223</Lines>
  <Paragraphs>62</Paragraphs>
  <ScaleCrop>false</ScaleCrop>
  <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Cooper</dc:creator>
  <cp:keywords/>
  <cp:lastModifiedBy>Firth, Mike</cp:lastModifiedBy>
  <cp:revision>249</cp:revision>
  <cp:lastPrinted>2019-10-25T06:52:00Z</cp:lastPrinted>
  <dcterms:created xsi:type="dcterms:W3CDTF">2025-04-14T11:49:00Z</dcterms:created>
  <dcterms:modified xsi:type="dcterms:W3CDTF">2025-06-16T12:03:00Z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0x010100AF47C6D639642C4882A310EAFDB93A7F</vt:lpwstr>
  </property>
  <property fmtid="{D5CDD505-2E9C-101B-9397-08002B2CF9AE}" pid="6" name="Order">
    <vt:r8>1614700</vt:r8>
  </property>
  <property fmtid="{D5CDD505-2E9C-101B-9397-08002B2CF9AE}" pid="7" name="Document Subject">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KU72685@kingston.ac.uk</vt:lpwstr>
  </property>
  <property fmtid="{D5CDD505-2E9C-101B-9397-08002B2CF9AE}" pid="13" name="MSIP_Label_3b551598-29da-492a-8b9f-8358cd43dd03_SetDate">
    <vt:lpwstr>2022-03-08T12:23:22.2465775Z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9068fb74-14d5-4f30-b849-cd66e103c2eb</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