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7E39B" w14:textId="3370C88A" w:rsidR="008503E2" w:rsidRPr="002809FD" w:rsidRDefault="0017785E" w:rsidP="0A1056A9">
      <w:pPr>
        <w:spacing w:before="480" w:after="0" w:line="240" w:lineRule="auto"/>
        <w:jc w:val="center"/>
        <w:rPr>
          <w:rFonts w:ascii="Arial" w:hAnsi="Arial" w:cs="Arial"/>
          <w:b/>
          <w:bCs/>
          <w:smallCaps/>
          <w:sz w:val="32"/>
          <w:szCs w:val="32"/>
        </w:rPr>
      </w:pPr>
      <w:r w:rsidRPr="0A1056A9">
        <w:rPr>
          <w:rFonts w:ascii="Arial" w:hAnsi="Arial" w:cs="Arial"/>
          <w:b/>
          <w:bCs/>
          <w:smallCaps/>
          <w:sz w:val="32"/>
          <w:szCs w:val="32"/>
        </w:rPr>
        <w:t xml:space="preserve">Apprenticeships Operations </w:t>
      </w:r>
      <w:r w:rsidR="4CDD60B1" w:rsidRPr="0A1056A9">
        <w:rPr>
          <w:rFonts w:ascii="Arial" w:hAnsi="Arial" w:cs="Arial"/>
          <w:b/>
          <w:bCs/>
          <w:smallCaps/>
          <w:sz w:val="32"/>
          <w:szCs w:val="32"/>
        </w:rPr>
        <w:t>and</w:t>
      </w:r>
      <w:r w:rsidR="00F437CA" w:rsidRPr="0A1056A9">
        <w:rPr>
          <w:rFonts w:ascii="Arial" w:hAnsi="Arial" w:cs="Arial"/>
          <w:b/>
          <w:bCs/>
          <w:smallCaps/>
          <w:sz w:val="32"/>
          <w:szCs w:val="32"/>
        </w:rPr>
        <w:t xml:space="preserve"> </w:t>
      </w:r>
      <w:r w:rsidR="006D2338" w:rsidRPr="0A1056A9">
        <w:rPr>
          <w:rFonts w:ascii="Arial" w:hAnsi="Arial" w:cs="Arial"/>
          <w:b/>
          <w:bCs/>
          <w:smallCaps/>
          <w:sz w:val="32"/>
          <w:szCs w:val="32"/>
        </w:rPr>
        <w:t xml:space="preserve">Compliance </w:t>
      </w:r>
      <w:r w:rsidRPr="0A1056A9">
        <w:rPr>
          <w:rFonts w:ascii="Arial" w:hAnsi="Arial" w:cs="Arial"/>
          <w:b/>
          <w:bCs/>
          <w:smallCaps/>
          <w:sz w:val="32"/>
          <w:szCs w:val="32"/>
        </w:rPr>
        <w:t>Group</w:t>
      </w:r>
    </w:p>
    <w:p w14:paraId="025C6291" w14:textId="77777777" w:rsidR="002A3F12" w:rsidRPr="002A3F12" w:rsidRDefault="002A3F12" w:rsidP="002A3F12">
      <w:pPr>
        <w:spacing w:before="120" w:after="0" w:line="240" w:lineRule="auto"/>
        <w:rPr>
          <w:rFonts w:ascii="Arial" w:hAnsi="Arial" w:cs="Arial"/>
          <w:b/>
        </w:rPr>
      </w:pPr>
      <w:r w:rsidRPr="002A3F12">
        <w:rPr>
          <w:rFonts w:ascii="Arial" w:hAnsi="Arial" w:cs="Arial"/>
          <w:b/>
        </w:rPr>
        <w:t>Purpose</w:t>
      </w:r>
    </w:p>
    <w:p w14:paraId="2D3DFFFC" w14:textId="77777777" w:rsidR="002A3F12" w:rsidRPr="002A3F12" w:rsidRDefault="002A3F12" w:rsidP="002A3F12">
      <w:pPr>
        <w:spacing w:before="120" w:after="0" w:line="240" w:lineRule="auto"/>
        <w:ind w:left="426"/>
        <w:rPr>
          <w:rFonts w:ascii="Arial" w:hAnsi="Arial" w:cs="Arial"/>
        </w:rPr>
      </w:pPr>
      <w:r w:rsidRPr="002A3F12">
        <w:rPr>
          <w:rFonts w:ascii="Arial" w:hAnsi="Arial" w:cs="Arial"/>
        </w:rPr>
        <w:t>Coordination and oversight of the operation and compliance of the University’s Apprenticeship offering.</w:t>
      </w:r>
    </w:p>
    <w:p w14:paraId="3E923FF0" w14:textId="77777777" w:rsidR="002A3F12" w:rsidRPr="002A3F12" w:rsidRDefault="002A3F12" w:rsidP="002A3F12">
      <w:pPr>
        <w:spacing w:before="120" w:after="0" w:line="240" w:lineRule="auto"/>
        <w:rPr>
          <w:rFonts w:ascii="Arial" w:hAnsi="Arial" w:cs="Arial"/>
          <w:b/>
        </w:rPr>
      </w:pPr>
      <w:r w:rsidRPr="002A3F12">
        <w:rPr>
          <w:rFonts w:ascii="Arial" w:hAnsi="Arial" w:cs="Arial"/>
          <w:b/>
        </w:rPr>
        <w:t>Reporting</w:t>
      </w:r>
    </w:p>
    <w:p w14:paraId="0BABBF6B" w14:textId="77777777" w:rsidR="002A3F12" w:rsidRPr="002A3F12" w:rsidRDefault="002A3F12" w:rsidP="002A3F12">
      <w:pPr>
        <w:spacing w:before="120" w:after="0" w:line="240" w:lineRule="auto"/>
        <w:ind w:left="426"/>
        <w:rPr>
          <w:rFonts w:ascii="Arial" w:hAnsi="Arial" w:cs="Arial"/>
        </w:rPr>
      </w:pPr>
      <w:r w:rsidRPr="002A3F12">
        <w:rPr>
          <w:rFonts w:ascii="Arial" w:hAnsi="Arial" w:cs="Arial"/>
        </w:rPr>
        <w:t>This committee reports to the Education Committee</w:t>
      </w:r>
    </w:p>
    <w:p w14:paraId="56DB2E8E" w14:textId="77777777" w:rsidR="002A3F12" w:rsidRPr="002A3F12" w:rsidRDefault="002A3F12" w:rsidP="002A3F12">
      <w:pPr>
        <w:spacing w:before="120" w:after="0" w:line="240" w:lineRule="auto"/>
        <w:rPr>
          <w:rFonts w:ascii="Arial" w:hAnsi="Arial" w:cs="Arial"/>
          <w:b/>
        </w:rPr>
      </w:pPr>
      <w:r w:rsidRPr="002A3F12">
        <w:rPr>
          <w:rFonts w:ascii="Arial" w:hAnsi="Arial" w:cs="Arial"/>
          <w:b/>
        </w:rPr>
        <w:t>Frequency and timing of meetings</w:t>
      </w:r>
    </w:p>
    <w:p w14:paraId="3195F0C0" w14:textId="078C5305" w:rsidR="002A3F12" w:rsidRPr="002A3F12" w:rsidRDefault="002A3F12" w:rsidP="002A3F12">
      <w:pPr>
        <w:spacing w:before="120" w:after="0" w:line="240" w:lineRule="auto"/>
        <w:ind w:left="426"/>
        <w:rPr>
          <w:rFonts w:ascii="Arial" w:hAnsi="Arial" w:cs="Arial"/>
        </w:rPr>
      </w:pPr>
      <w:r w:rsidRPr="0A1056A9">
        <w:rPr>
          <w:rFonts w:ascii="Arial" w:hAnsi="Arial" w:cs="Arial"/>
        </w:rPr>
        <w:t>This committee will meet quarterly unless exceptional meetings are required</w:t>
      </w:r>
      <w:r w:rsidR="1E5666C5" w:rsidRPr="0A1056A9">
        <w:rPr>
          <w:rFonts w:ascii="Arial" w:hAnsi="Arial" w:cs="Arial"/>
        </w:rPr>
        <w:t xml:space="preserve">. </w:t>
      </w:r>
    </w:p>
    <w:p w14:paraId="6041D68E" w14:textId="77777777" w:rsidR="002A3F12" w:rsidRPr="002A3F12" w:rsidRDefault="002A3F12" w:rsidP="002A3F12">
      <w:pPr>
        <w:spacing w:before="120" w:after="0" w:line="240" w:lineRule="auto"/>
        <w:rPr>
          <w:rFonts w:ascii="Arial" w:hAnsi="Arial" w:cs="Arial"/>
          <w:b/>
        </w:rPr>
      </w:pPr>
      <w:r w:rsidRPr="002A3F12">
        <w:rPr>
          <w:rFonts w:ascii="Arial" w:hAnsi="Arial" w:cs="Arial"/>
          <w:b/>
        </w:rPr>
        <w:t xml:space="preserve">Responsibilities and Accountabilities </w:t>
      </w:r>
    </w:p>
    <w:p w14:paraId="58D0F980" w14:textId="77777777" w:rsidR="002A3F12" w:rsidRPr="002A3F12" w:rsidRDefault="002A3F12" w:rsidP="002A3F12">
      <w:pPr>
        <w:spacing w:before="120" w:after="0" w:line="240" w:lineRule="auto"/>
        <w:ind w:left="426"/>
        <w:rPr>
          <w:rFonts w:ascii="Arial" w:hAnsi="Arial" w:cs="Arial"/>
        </w:rPr>
      </w:pPr>
      <w:r w:rsidRPr="002A3F12">
        <w:rPr>
          <w:rFonts w:ascii="Arial" w:hAnsi="Arial" w:cs="Arial"/>
        </w:rPr>
        <w:t>Key responsibilities</w:t>
      </w:r>
    </w:p>
    <w:p w14:paraId="64007D43" w14:textId="75247670" w:rsidR="002A3F12" w:rsidRPr="002A3F12" w:rsidRDefault="002A3F12" w:rsidP="002A3F12">
      <w:pPr>
        <w:pStyle w:val="ListParagraph"/>
        <w:numPr>
          <w:ilvl w:val="0"/>
          <w:numId w:val="1"/>
        </w:numPr>
        <w:spacing w:after="0" w:line="240" w:lineRule="auto"/>
        <w:rPr>
          <w:rFonts w:ascii="Arial" w:hAnsi="Arial" w:cs="Arial"/>
        </w:rPr>
      </w:pPr>
      <w:r w:rsidRPr="0A1056A9">
        <w:rPr>
          <w:rFonts w:ascii="Arial" w:hAnsi="Arial" w:cs="Arial"/>
        </w:rPr>
        <w:t>Co-ordinating the University’s Apprenticeships provision and operational planning to ensure compliance with internal and external requirements</w:t>
      </w:r>
      <w:r w:rsidR="001F12B0" w:rsidRPr="0A1056A9">
        <w:rPr>
          <w:rFonts w:ascii="Arial" w:hAnsi="Arial" w:cs="Arial"/>
        </w:rPr>
        <w:t xml:space="preserve">. </w:t>
      </w:r>
    </w:p>
    <w:p w14:paraId="01D26469" w14:textId="5E2B513A" w:rsidR="002A3F12" w:rsidRPr="002A3F12" w:rsidRDefault="002A3F12" w:rsidP="002A3F12">
      <w:pPr>
        <w:pStyle w:val="ListParagraph"/>
        <w:numPr>
          <w:ilvl w:val="0"/>
          <w:numId w:val="1"/>
        </w:numPr>
        <w:spacing w:after="0" w:line="240" w:lineRule="auto"/>
        <w:rPr>
          <w:rFonts w:ascii="Arial" w:hAnsi="Arial" w:cs="Arial"/>
        </w:rPr>
      </w:pPr>
      <w:r w:rsidRPr="0A1056A9">
        <w:rPr>
          <w:rFonts w:ascii="Arial" w:eastAsia="Times New Roman" w:hAnsi="Arial" w:cs="Arial"/>
          <w:lang w:eastAsia="en-GB"/>
        </w:rPr>
        <w:t xml:space="preserve">Ensure services supporting apprenticeships are effectively coordinated and focused on delivering the highest possible quality provision to learners, staff, </w:t>
      </w:r>
      <w:r w:rsidR="0E8B4495" w:rsidRPr="0A1056A9">
        <w:rPr>
          <w:rFonts w:ascii="Arial" w:eastAsia="Times New Roman" w:hAnsi="Arial" w:cs="Arial"/>
          <w:lang w:eastAsia="en-GB"/>
        </w:rPr>
        <w:t>employers,</w:t>
      </w:r>
      <w:r w:rsidRPr="0A1056A9">
        <w:rPr>
          <w:rFonts w:ascii="Arial" w:eastAsia="Times New Roman" w:hAnsi="Arial" w:cs="Arial"/>
          <w:lang w:eastAsia="en-GB"/>
        </w:rPr>
        <w:t xml:space="preserve"> and other stakeholders</w:t>
      </w:r>
      <w:r w:rsidR="59E6C836" w:rsidRPr="0A1056A9">
        <w:rPr>
          <w:rFonts w:ascii="Arial" w:eastAsia="Times New Roman" w:hAnsi="Arial" w:cs="Arial"/>
          <w:lang w:eastAsia="en-GB"/>
        </w:rPr>
        <w:t xml:space="preserve">. </w:t>
      </w:r>
    </w:p>
    <w:p w14:paraId="7F62C74A" w14:textId="6689B4C3" w:rsidR="002A3F12" w:rsidRPr="002A3F12" w:rsidRDefault="002A3F12" w:rsidP="002A3F12">
      <w:pPr>
        <w:pStyle w:val="ListParagraph"/>
        <w:numPr>
          <w:ilvl w:val="0"/>
          <w:numId w:val="1"/>
        </w:numPr>
        <w:spacing w:after="0" w:line="240" w:lineRule="auto"/>
        <w:rPr>
          <w:rFonts w:ascii="Arial" w:hAnsi="Arial" w:cs="Arial"/>
        </w:rPr>
      </w:pPr>
      <w:r w:rsidRPr="0A1056A9">
        <w:rPr>
          <w:rFonts w:ascii="Arial" w:eastAsia="Times New Roman" w:hAnsi="Arial" w:cs="Arial"/>
          <w:lang w:eastAsia="en-GB"/>
        </w:rPr>
        <w:t>Promote and support skills development and information training for academics interested in apprenticeship delivery</w:t>
      </w:r>
      <w:r w:rsidR="10B9E906" w:rsidRPr="0A1056A9">
        <w:rPr>
          <w:rFonts w:ascii="Arial" w:eastAsia="Times New Roman" w:hAnsi="Arial" w:cs="Arial"/>
          <w:lang w:eastAsia="en-GB"/>
        </w:rPr>
        <w:t xml:space="preserve">. </w:t>
      </w:r>
    </w:p>
    <w:p w14:paraId="0B84561A" w14:textId="77777777" w:rsidR="002A3F12" w:rsidRPr="002A3F12" w:rsidRDefault="002A3F12" w:rsidP="002A3F12">
      <w:pPr>
        <w:pStyle w:val="ListParagraph"/>
        <w:numPr>
          <w:ilvl w:val="0"/>
          <w:numId w:val="1"/>
        </w:numPr>
        <w:spacing w:after="0" w:line="240" w:lineRule="auto"/>
        <w:rPr>
          <w:rFonts w:ascii="Arial" w:hAnsi="Arial" w:cs="Arial"/>
        </w:rPr>
      </w:pPr>
      <w:r w:rsidRPr="002A3F12">
        <w:rPr>
          <w:rFonts w:ascii="Arial" w:hAnsi="Arial" w:cs="Arial"/>
        </w:rPr>
        <w:t>Monitor and oversee data reporting for different apprenticeship programmes to ensure funding is obtained in a timely manner.</w:t>
      </w:r>
    </w:p>
    <w:p w14:paraId="6EE7E35B" w14:textId="44D22AF8" w:rsidR="002A3F12" w:rsidRPr="002A3F12" w:rsidRDefault="002A3F12" w:rsidP="002A3F12">
      <w:pPr>
        <w:pStyle w:val="ListParagraph"/>
        <w:numPr>
          <w:ilvl w:val="0"/>
          <w:numId w:val="1"/>
        </w:numPr>
        <w:spacing w:after="0" w:line="240" w:lineRule="auto"/>
        <w:rPr>
          <w:rFonts w:ascii="Arial" w:hAnsi="Arial" w:cs="Arial"/>
        </w:rPr>
      </w:pPr>
      <w:r w:rsidRPr="0A1056A9">
        <w:rPr>
          <w:rFonts w:ascii="Arial" w:hAnsi="Arial" w:cs="Arial"/>
        </w:rPr>
        <w:t>Support faculties and professional services with the development and delivery of apprenticeships to approved standards and to ensure that University policies and services address these needs</w:t>
      </w:r>
      <w:r w:rsidR="60C0DABE" w:rsidRPr="0A1056A9">
        <w:rPr>
          <w:rFonts w:ascii="Arial" w:hAnsi="Arial" w:cs="Arial"/>
        </w:rPr>
        <w:t xml:space="preserve">. </w:t>
      </w:r>
    </w:p>
    <w:p w14:paraId="510A17F0" w14:textId="65CA112E" w:rsidR="002A3F12" w:rsidRPr="002A3F12" w:rsidRDefault="002A3F12" w:rsidP="002A3F12">
      <w:pPr>
        <w:pStyle w:val="ListParagraph"/>
        <w:numPr>
          <w:ilvl w:val="0"/>
          <w:numId w:val="1"/>
        </w:numPr>
        <w:spacing w:after="0" w:line="240" w:lineRule="auto"/>
        <w:rPr>
          <w:rFonts w:ascii="Arial" w:hAnsi="Arial" w:cs="Arial"/>
        </w:rPr>
      </w:pPr>
      <w:r w:rsidRPr="0A1056A9">
        <w:rPr>
          <w:rFonts w:ascii="Arial" w:hAnsi="Arial" w:cs="Arial"/>
        </w:rPr>
        <w:t xml:space="preserve">Promote, </w:t>
      </w:r>
      <w:r w:rsidR="001F12B0" w:rsidRPr="0A1056A9">
        <w:rPr>
          <w:rFonts w:ascii="Arial" w:hAnsi="Arial" w:cs="Arial"/>
        </w:rPr>
        <w:t>support,</w:t>
      </w:r>
      <w:r w:rsidRPr="0A1056A9">
        <w:rPr>
          <w:rFonts w:ascii="Arial" w:hAnsi="Arial" w:cs="Arial"/>
        </w:rPr>
        <w:t xml:space="preserve"> and develop </w:t>
      </w:r>
      <w:r w:rsidR="001F12B0" w:rsidRPr="0A1056A9">
        <w:rPr>
          <w:rFonts w:ascii="Arial" w:hAnsi="Arial" w:cs="Arial"/>
        </w:rPr>
        <w:t>strategically led</w:t>
      </w:r>
      <w:r w:rsidRPr="0A1056A9">
        <w:rPr>
          <w:rFonts w:ascii="Arial" w:hAnsi="Arial" w:cs="Arial"/>
        </w:rPr>
        <w:t xml:space="preserve"> enhancement initiatives, </w:t>
      </w:r>
      <w:r w:rsidR="7967AA02" w:rsidRPr="0A1056A9">
        <w:rPr>
          <w:rFonts w:ascii="Arial" w:hAnsi="Arial" w:cs="Arial"/>
        </w:rPr>
        <w:t>activities,</w:t>
      </w:r>
      <w:r w:rsidRPr="0A1056A9">
        <w:rPr>
          <w:rFonts w:ascii="Arial" w:hAnsi="Arial" w:cs="Arial"/>
        </w:rPr>
        <w:t xml:space="preserve"> and institution-wide changes to drive up the quality/volume of apprenticeship delivery and enhance apprentices’ learning experience and outcomes.</w:t>
      </w:r>
    </w:p>
    <w:p w14:paraId="0B453206" w14:textId="77777777" w:rsidR="002A3F12" w:rsidRPr="002A3F12" w:rsidRDefault="002A3F12" w:rsidP="002A3F12">
      <w:pPr>
        <w:pStyle w:val="ListParagraph"/>
        <w:numPr>
          <w:ilvl w:val="0"/>
          <w:numId w:val="1"/>
        </w:numPr>
        <w:spacing w:after="0" w:line="240" w:lineRule="auto"/>
        <w:rPr>
          <w:rFonts w:ascii="Arial" w:hAnsi="Arial" w:cs="Arial"/>
        </w:rPr>
      </w:pPr>
      <w:r w:rsidRPr="0A1056A9">
        <w:rPr>
          <w:rFonts w:ascii="Arial" w:hAnsi="Arial" w:cs="Arial"/>
        </w:rPr>
        <w:t xml:space="preserve">Oversight and review of Faculty strategic plans, infrastructure, </w:t>
      </w:r>
      <w:bookmarkStart w:id="0" w:name="_Int_r1OJthJ8"/>
      <w:r w:rsidRPr="0A1056A9">
        <w:rPr>
          <w:rFonts w:ascii="Arial" w:hAnsi="Arial" w:cs="Arial"/>
        </w:rPr>
        <w:t>governance</w:t>
      </w:r>
      <w:bookmarkEnd w:id="0"/>
      <w:r w:rsidRPr="0A1056A9">
        <w:rPr>
          <w:rFonts w:ascii="Arial" w:hAnsi="Arial" w:cs="Arial"/>
        </w:rPr>
        <w:t xml:space="preserve"> and assurance processes to ensure apprenticeship standards are met, especially with respect to learning journey, employer interactions and end-point assessment, particularly:</w:t>
      </w:r>
    </w:p>
    <w:p w14:paraId="789CCFDE" w14:textId="77777777" w:rsidR="002A3F12" w:rsidRPr="002A3F12" w:rsidRDefault="002A3F12" w:rsidP="002A3F12">
      <w:pPr>
        <w:pStyle w:val="ListParagraph"/>
        <w:numPr>
          <w:ilvl w:val="1"/>
          <w:numId w:val="1"/>
        </w:numPr>
        <w:spacing w:after="0" w:line="240" w:lineRule="auto"/>
        <w:rPr>
          <w:rFonts w:ascii="Arial" w:hAnsi="Arial" w:cs="Arial"/>
        </w:rPr>
      </w:pPr>
      <w:r w:rsidRPr="0A1056A9">
        <w:rPr>
          <w:rFonts w:ascii="Arial" w:hAnsi="Arial" w:cs="Arial"/>
        </w:rPr>
        <w:t xml:space="preserve">timely completion of service level agreements between </w:t>
      </w:r>
      <w:proofErr w:type="gramStart"/>
      <w:r w:rsidRPr="0A1056A9">
        <w:rPr>
          <w:rFonts w:ascii="Arial" w:hAnsi="Arial" w:cs="Arial"/>
        </w:rPr>
        <w:t>University</w:t>
      </w:r>
      <w:proofErr w:type="gramEnd"/>
      <w:r w:rsidRPr="0A1056A9">
        <w:rPr>
          <w:rFonts w:ascii="Arial" w:hAnsi="Arial" w:cs="Arial"/>
        </w:rPr>
        <w:t xml:space="preserve"> and employers</w:t>
      </w:r>
    </w:p>
    <w:p w14:paraId="32DF60A0" w14:textId="77777777" w:rsidR="002A3F12" w:rsidRPr="002A3F12" w:rsidRDefault="002A3F12" w:rsidP="002A3F12">
      <w:pPr>
        <w:pStyle w:val="ListParagraph"/>
        <w:numPr>
          <w:ilvl w:val="1"/>
          <w:numId w:val="1"/>
        </w:numPr>
        <w:spacing w:after="0" w:line="240" w:lineRule="auto"/>
        <w:rPr>
          <w:rFonts w:ascii="Arial" w:hAnsi="Arial" w:cs="Arial"/>
        </w:rPr>
      </w:pPr>
      <w:r w:rsidRPr="002A3F12">
        <w:rPr>
          <w:rFonts w:ascii="Arial" w:hAnsi="Arial" w:cs="Arial"/>
        </w:rPr>
        <w:t>impact of teaching, learning and assessment as well as learner support on apprentices’ experience and outcomes</w:t>
      </w:r>
    </w:p>
    <w:p w14:paraId="3E8AA009" w14:textId="77777777" w:rsidR="002A3F12" w:rsidRPr="002A3F12" w:rsidRDefault="002A3F12" w:rsidP="002A3F12">
      <w:pPr>
        <w:pStyle w:val="ListParagraph"/>
        <w:numPr>
          <w:ilvl w:val="0"/>
          <w:numId w:val="1"/>
        </w:numPr>
        <w:spacing w:after="0" w:line="240" w:lineRule="auto"/>
        <w:rPr>
          <w:rFonts w:ascii="Arial" w:hAnsi="Arial" w:cs="Arial"/>
        </w:rPr>
      </w:pPr>
      <w:r w:rsidRPr="002A3F12">
        <w:rPr>
          <w:rFonts w:ascii="Arial" w:hAnsi="Arial" w:cs="Arial"/>
        </w:rPr>
        <w:t>Assurance of faculty auditable compliance and record-keeping.</w:t>
      </w:r>
    </w:p>
    <w:p w14:paraId="672A3ECD" w14:textId="77777777" w:rsidR="002A3F12" w:rsidRPr="002A3F12" w:rsidRDefault="002A3F12" w:rsidP="002A3F12">
      <w:pPr>
        <w:pStyle w:val="ListParagraph"/>
        <w:spacing w:after="0" w:line="240" w:lineRule="auto"/>
        <w:ind w:left="1146"/>
        <w:rPr>
          <w:rFonts w:ascii="Arial" w:hAnsi="Arial" w:cs="Arial"/>
        </w:rPr>
      </w:pPr>
    </w:p>
    <w:p w14:paraId="5AB82DE4" w14:textId="77777777" w:rsidR="002A3F12" w:rsidRPr="002A3F12" w:rsidRDefault="002A3F12" w:rsidP="002A3F12">
      <w:pPr>
        <w:spacing w:before="120" w:after="0" w:line="240" w:lineRule="auto"/>
        <w:ind w:left="426"/>
        <w:rPr>
          <w:rFonts w:ascii="Arial" w:hAnsi="Arial" w:cs="Arial"/>
        </w:rPr>
      </w:pPr>
      <w:r w:rsidRPr="002A3F12">
        <w:rPr>
          <w:rFonts w:ascii="Arial" w:hAnsi="Arial" w:cs="Arial"/>
        </w:rPr>
        <w:t>Key decisions</w:t>
      </w:r>
    </w:p>
    <w:p w14:paraId="66C5617D" w14:textId="005F39B3" w:rsidR="002A3F12" w:rsidRPr="002A3F12" w:rsidRDefault="002A3F12" w:rsidP="002A3F12">
      <w:pPr>
        <w:pStyle w:val="ListParagraph"/>
        <w:numPr>
          <w:ilvl w:val="0"/>
          <w:numId w:val="1"/>
        </w:numPr>
        <w:spacing w:after="0" w:line="240" w:lineRule="auto"/>
        <w:rPr>
          <w:rFonts w:ascii="Arial" w:hAnsi="Arial" w:cs="Arial"/>
        </w:rPr>
      </w:pPr>
      <w:r w:rsidRPr="0A1056A9">
        <w:rPr>
          <w:rFonts w:ascii="Arial" w:hAnsi="Arial" w:cs="Arial"/>
        </w:rPr>
        <w:t>Identify and highlight the need for appropriate training, recommending training content and ownership of that process</w:t>
      </w:r>
      <w:r w:rsidR="001F12B0" w:rsidRPr="0A1056A9">
        <w:rPr>
          <w:rFonts w:ascii="Arial" w:hAnsi="Arial" w:cs="Arial"/>
        </w:rPr>
        <w:t xml:space="preserve">. </w:t>
      </w:r>
    </w:p>
    <w:p w14:paraId="3D39D433" w14:textId="2064D408" w:rsidR="002A3F12" w:rsidRPr="002A3F12" w:rsidRDefault="002A3F12" w:rsidP="002A3F12">
      <w:pPr>
        <w:pStyle w:val="ListParagraph"/>
        <w:numPr>
          <w:ilvl w:val="0"/>
          <w:numId w:val="1"/>
        </w:numPr>
        <w:spacing w:after="0" w:line="240" w:lineRule="auto"/>
        <w:rPr>
          <w:rFonts w:ascii="Arial" w:hAnsi="Arial" w:cs="Arial"/>
        </w:rPr>
      </w:pPr>
      <w:r w:rsidRPr="0A1056A9">
        <w:rPr>
          <w:rFonts w:ascii="Arial" w:hAnsi="Arial" w:cs="Arial"/>
        </w:rPr>
        <w:t>Review, recommend and approve the use of the University’s apprenticeship levy fund allocation in line with the University’s Town House Strategy, ensuring full and best use is made of this fund</w:t>
      </w:r>
      <w:r w:rsidR="36E464A7" w:rsidRPr="0A1056A9">
        <w:rPr>
          <w:rFonts w:ascii="Arial" w:hAnsi="Arial" w:cs="Arial"/>
        </w:rPr>
        <w:t xml:space="preserve">. </w:t>
      </w:r>
    </w:p>
    <w:p w14:paraId="6E8E6F8F" w14:textId="6621EA54" w:rsidR="002A3F12" w:rsidRPr="002A3F12" w:rsidRDefault="002A3F12" w:rsidP="002A3F12">
      <w:pPr>
        <w:pStyle w:val="ListParagraph"/>
        <w:numPr>
          <w:ilvl w:val="0"/>
          <w:numId w:val="1"/>
        </w:numPr>
        <w:spacing w:after="0" w:line="240" w:lineRule="auto"/>
        <w:rPr>
          <w:rFonts w:ascii="Arial" w:hAnsi="Arial" w:cs="Arial"/>
        </w:rPr>
      </w:pPr>
      <w:r w:rsidRPr="0A1056A9">
        <w:rPr>
          <w:rFonts w:ascii="Arial" w:hAnsi="Arial" w:cs="Arial"/>
        </w:rPr>
        <w:t>Maintain University policies and procedures relating to apprenticeship activity</w:t>
      </w:r>
      <w:r w:rsidR="097A057F" w:rsidRPr="0A1056A9">
        <w:rPr>
          <w:rFonts w:ascii="Arial" w:hAnsi="Arial" w:cs="Arial"/>
        </w:rPr>
        <w:t xml:space="preserve">. </w:t>
      </w:r>
      <w:r w:rsidRPr="0A1056A9">
        <w:rPr>
          <w:rFonts w:ascii="Arial" w:hAnsi="Arial" w:cs="Arial"/>
        </w:rPr>
        <w:t>Where changes or new policies are required ensure those are presented and approved by Education Committee</w:t>
      </w:r>
      <w:r w:rsidR="1344C0B4" w:rsidRPr="0A1056A9">
        <w:rPr>
          <w:rFonts w:ascii="Arial" w:hAnsi="Arial" w:cs="Arial"/>
        </w:rPr>
        <w:t xml:space="preserve">. </w:t>
      </w:r>
    </w:p>
    <w:p w14:paraId="695AA247" w14:textId="645AFBAE" w:rsidR="002A3F12" w:rsidRPr="002A3F12" w:rsidRDefault="002A3F12" w:rsidP="002A3F12">
      <w:pPr>
        <w:pStyle w:val="ListParagraph"/>
        <w:numPr>
          <w:ilvl w:val="0"/>
          <w:numId w:val="1"/>
        </w:numPr>
        <w:spacing w:after="0" w:line="240" w:lineRule="auto"/>
        <w:rPr>
          <w:rFonts w:ascii="Arial" w:hAnsi="Arial" w:cs="Arial"/>
        </w:rPr>
      </w:pPr>
      <w:r w:rsidRPr="0A1056A9">
        <w:rPr>
          <w:rFonts w:ascii="Arial" w:hAnsi="Arial" w:cs="Arial"/>
        </w:rPr>
        <w:t>Review and agree processes and areas for development and enhancement of the degree apprenticeship provision</w:t>
      </w:r>
      <w:r w:rsidR="1344C0B4" w:rsidRPr="0A1056A9">
        <w:rPr>
          <w:rFonts w:ascii="Arial" w:hAnsi="Arial" w:cs="Arial"/>
        </w:rPr>
        <w:t xml:space="preserve">. </w:t>
      </w:r>
    </w:p>
    <w:p w14:paraId="55107C32" w14:textId="77777777" w:rsidR="002A3F12" w:rsidRPr="002A3F12" w:rsidRDefault="002A3F12" w:rsidP="002A3F12">
      <w:pPr>
        <w:spacing w:before="120" w:after="0" w:line="240" w:lineRule="auto"/>
        <w:ind w:left="426"/>
        <w:rPr>
          <w:rFonts w:ascii="Arial" w:hAnsi="Arial" w:cs="Arial"/>
        </w:rPr>
      </w:pPr>
      <w:r w:rsidRPr="002A3F12">
        <w:rPr>
          <w:rFonts w:ascii="Arial" w:hAnsi="Arial" w:cs="Arial"/>
        </w:rPr>
        <w:t>Key advisory roles</w:t>
      </w:r>
    </w:p>
    <w:p w14:paraId="74797469" w14:textId="34CB54DE" w:rsidR="002A3F12" w:rsidRPr="002A3F12" w:rsidRDefault="002A3F12" w:rsidP="002A3F12">
      <w:pPr>
        <w:pStyle w:val="ListParagraph"/>
        <w:numPr>
          <w:ilvl w:val="0"/>
          <w:numId w:val="1"/>
        </w:numPr>
        <w:spacing w:after="0" w:line="240" w:lineRule="auto"/>
        <w:ind w:left="1145" w:hanging="357"/>
        <w:rPr>
          <w:rFonts w:ascii="Arial" w:hAnsi="Arial" w:cs="Arial"/>
        </w:rPr>
      </w:pPr>
      <w:r w:rsidRPr="0A1056A9">
        <w:rPr>
          <w:rFonts w:ascii="Arial" w:hAnsi="Arial" w:cs="Arial"/>
        </w:rPr>
        <w:t>Monitor external developments relevant to apprenticeships</w:t>
      </w:r>
      <w:r w:rsidR="3EE299E3" w:rsidRPr="0A1056A9">
        <w:rPr>
          <w:rFonts w:ascii="Arial" w:hAnsi="Arial" w:cs="Arial"/>
        </w:rPr>
        <w:t xml:space="preserve">. </w:t>
      </w:r>
      <w:r w:rsidRPr="0A1056A9">
        <w:rPr>
          <w:rFonts w:ascii="Arial" w:hAnsi="Arial" w:cs="Arial"/>
        </w:rPr>
        <w:t>Digest and disseminate via members and all pertinent communication routes</w:t>
      </w:r>
      <w:r w:rsidR="3EE299E3" w:rsidRPr="0A1056A9">
        <w:rPr>
          <w:rFonts w:ascii="Arial" w:hAnsi="Arial" w:cs="Arial"/>
        </w:rPr>
        <w:t xml:space="preserve">. </w:t>
      </w:r>
    </w:p>
    <w:p w14:paraId="7273CFB6" w14:textId="1766E355" w:rsidR="002A3F12" w:rsidRPr="002A3F12" w:rsidRDefault="002A3F12" w:rsidP="002A3F12">
      <w:pPr>
        <w:pStyle w:val="ListParagraph"/>
        <w:numPr>
          <w:ilvl w:val="0"/>
          <w:numId w:val="1"/>
        </w:numPr>
        <w:spacing w:after="0" w:line="240" w:lineRule="auto"/>
        <w:ind w:left="1145" w:hanging="357"/>
        <w:rPr>
          <w:rFonts w:ascii="Arial" w:hAnsi="Arial" w:cs="Arial"/>
        </w:rPr>
      </w:pPr>
      <w:r w:rsidRPr="002A3F12">
        <w:rPr>
          <w:rFonts w:ascii="Arial" w:hAnsi="Arial" w:cs="Arial"/>
        </w:rPr>
        <w:lastRenderedPageBreak/>
        <w:t xml:space="preserve">Solicit and study market reports, identifying and advising on areas for potential provision and cross-referencing to existing material and </w:t>
      </w:r>
      <w:r w:rsidR="009D171C" w:rsidRPr="002A3F12">
        <w:rPr>
          <w:rFonts w:ascii="Arial" w:hAnsi="Arial" w:cs="Arial"/>
        </w:rPr>
        <w:t>capacity.</w:t>
      </w:r>
    </w:p>
    <w:p w14:paraId="5FF464CA" w14:textId="2831C2C0" w:rsidR="002A3F12" w:rsidRPr="002A3F12" w:rsidRDefault="002A3F12" w:rsidP="002A3F12">
      <w:pPr>
        <w:pStyle w:val="ListParagraph"/>
        <w:numPr>
          <w:ilvl w:val="0"/>
          <w:numId w:val="1"/>
        </w:numPr>
        <w:rPr>
          <w:rFonts w:ascii="Arial" w:hAnsi="Arial" w:cs="Arial"/>
        </w:rPr>
      </w:pPr>
      <w:r w:rsidRPr="0A1056A9">
        <w:rPr>
          <w:rFonts w:ascii="Arial" w:hAnsi="Arial" w:cs="Arial"/>
        </w:rPr>
        <w:t>Identify opportunities and coordinate support for “cross-selling” and “up-selling” within and beyond the apprenticeship portfolio, advising support services across the University</w:t>
      </w:r>
      <w:r w:rsidR="50FCCF7C" w:rsidRPr="0A1056A9">
        <w:rPr>
          <w:rFonts w:ascii="Arial" w:hAnsi="Arial" w:cs="Arial"/>
        </w:rPr>
        <w:t xml:space="preserve">. </w:t>
      </w:r>
    </w:p>
    <w:p w14:paraId="3DCB73F9" w14:textId="2776836F" w:rsidR="002A3F12" w:rsidRPr="002A3F12" w:rsidRDefault="002A3F12" w:rsidP="002A3F12">
      <w:pPr>
        <w:pStyle w:val="ListParagraph"/>
        <w:numPr>
          <w:ilvl w:val="0"/>
          <w:numId w:val="1"/>
        </w:numPr>
        <w:spacing w:after="0" w:line="240" w:lineRule="auto"/>
        <w:rPr>
          <w:rFonts w:ascii="Arial" w:hAnsi="Arial" w:cs="Arial"/>
        </w:rPr>
      </w:pPr>
      <w:r w:rsidRPr="0A1056A9">
        <w:rPr>
          <w:rFonts w:ascii="Arial" w:hAnsi="Arial" w:cs="Arial"/>
        </w:rPr>
        <w:t>Review and advice on Faculty strategies and planning documents with respect to apprenticeships and target setting</w:t>
      </w:r>
      <w:r w:rsidR="41092451" w:rsidRPr="0A1056A9">
        <w:rPr>
          <w:rFonts w:ascii="Arial" w:hAnsi="Arial" w:cs="Arial"/>
        </w:rPr>
        <w:t xml:space="preserve">. </w:t>
      </w:r>
    </w:p>
    <w:p w14:paraId="412CE216" w14:textId="77777777" w:rsidR="002A3F12" w:rsidRPr="002A3F12" w:rsidRDefault="002A3F12" w:rsidP="002A3F12">
      <w:pPr>
        <w:spacing w:before="120" w:after="0" w:line="240" w:lineRule="auto"/>
        <w:ind w:left="426"/>
        <w:rPr>
          <w:rFonts w:ascii="Arial" w:hAnsi="Arial" w:cs="Arial"/>
        </w:rPr>
      </w:pPr>
      <w:r w:rsidRPr="002A3F12">
        <w:rPr>
          <w:rFonts w:ascii="Arial" w:hAnsi="Arial" w:cs="Arial"/>
        </w:rPr>
        <w:t>Other accountabilities</w:t>
      </w:r>
    </w:p>
    <w:p w14:paraId="71EA3C88" w14:textId="65DC7861" w:rsidR="002A3F12" w:rsidRPr="002A3F12" w:rsidRDefault="002A3F12" w:rsidP="002A3F12">
      <w:pPr>
        <w:pStyle w:val="ListParagraph"/>
        <w:numPr>
          <w:ilvl w:val="0"/>
          <w:numId w:val="1"/>
        </w:numPr>
        <w:spacing w:after="0" w:line="240" w:lineRule="auto"/>
        <w:rPr>
          <w:rFonts w:ascii="Arial" w:hAnsi="Arial" w:cs="Arial"/>
        </w:rPr>
      </w:pPr>
      <w:r w:rsidRPr="0A1056A9">
        <w:rPr>
          <w:rFonts w:ascii="Arial" w:hAnsi="Arial" w:cs="Arial"/>
        </w:rPr>
        <w:t>Facilitate and enhance communication between Professional Services and Academic Stakeholders</w:t>
      </w:r>
      <w:r w:rsidR="63AD14EB" w:rsidRPr="0A1056A9">
        <w:rPr>
          <w:rFonts w:ascii="Arial" w:hAnsi="Arial" w:cs="Arial"/>
        </w:rPr>
        <w:t xml:space="preserve">. </w:t>
      </w:r>
    </w:p>
    <w:p w14:paraId="422125BE" w14:textId="786BC6A7" w:rsidR="002A3F12" w:rsidRPr="002A3F12" w:rsidRDefault="002A3F12" w:rsidP="002A3F12">
      <w:pPr>
        <w:pStyle w:val="ListParagraph"/>
        <w:numPr>
          <w:ilvl w:val="0"/>
          <w:numId w:val="1"/>
        </w:numPr>
        <w:spacing w:after="0" w:line="240" w:lineRule="auto"/>
        <w:rPr>
          <w:rFonts w:ascii="Arial" w:hAnsi="Arial" w:cs="Arial"/>
        </w:rPr>
      </w:pPr>
      <w:r w:rsidRPr="0A1056A9">
        <w:rPr>
          <w:rFonts w:ascii="Arial" w:hAnsi="Arial" w:cs="Arial"/>
        </w:rPr>
        <w:t>To ensure all relevant activities meet the equality and inclusion principles of the University</w:t>
      </w:r>
      <w:r w:rsidR="63AD14EB" w:rsidRPr="0A1056A9">
        <w:rPr>
          <w:rFonts w:ascii="Arial" w:hAnsi="Arial" w:cs="Arial"/>
        </w:rPr>
        <w:t xml:space="preserve">. </w:t>
      </w:r>
    </w:p>
    <w:p w14:paraId="0CB1B914" w14:textId="77777777" w:rsidR="002A3F12" w:rsidRPr="002A3F12" w:rsidRDefault="002A3F12" w:rsidP="002A3F12">
      <w:pPr>
        <w:pStyle w:val="ListParagraph"/>
        <w:numPr>
          <w:ilvl w:val="0"/>
          <w:numId w:val="1"/>
        </w:numPr>
        <w:spacing w:after="0" w:line="240" w:lineRule="auto"/>
        <w:rPr>
          <w:rFonts w:ascii="Arial" w:hAnsi="Arial" w:cs="Arial"/>
        </w:rPr>
      </w:pPr>
      <w:r w:rsidRPr="002A3F12">
        <w:rPr>
          <w:rFonts w:ascii="Arial" w:hAnsi="Arial" w:cs="Arial"/>
        </w:rPr>
        <w:t>Monitor the external context and ensure that University strategy is consistent with, and responsive to the emerging policy and regulatory environment, including the dissemination of best practice and standards of excellence observed in other organisations.</w:t>
      </w:r>
    </w:p>
    <w:p w14:paraId="1915D995" w14:textId="77777777" w:rsidR="002A3F12" w:rsidRPr="002A3F12" w:rsidRDefault="002A3F12" w:rsidP="002A3F12">
      <w:pPr>
        <w:spacing w:before="120" w:after="0" w:line="240" w:lineRule="auto"/>
        <w:rPr>
          <w:rFonts w:ascii="Arial" w:hAnsi="Arial" w:cs="Arial"/>
          <w:b/>
        </w:rPr>
      </w:pPr>
      <w:r w:rsidRPr="002A3F12">
        <w:rPr>
          <w:rFonts w:ascii="Arial" w:hAnsi="Arial" w:cs="Arial"/>
          <w:b/>
        </w:rPr>
        <w:t>Communications</w:t>
      </w:r>
    </w:p>
    <w:p w14:paraId="7648EE23" w14:textId="5E8352D4" w:rsidR="002A3F12" w:rsidRPr="002A3F12" w:rsidRDefault="002A3F12" w:rsidP="002A3F12">
      <w:pPr>
        <w:spacing w:before="120" w:after="0" w:line="240" w:lineRule="auto"/>
        <w:ind w:left="426"/>
        <w:rPr>
          <w:rFonts w:ascii="Arial" w:hAnsi="Arial" w:cs="Arial"/>
        </w:rPr>
      </w:pPr>
      <w:r w:rsidRPr="0A1056A9">
        <w:rPr>
          <w:rFonts w:ascii="Arial" w:hAnsi="Arial" w:cs="Arial"/>
        </w:rPr>
        <w:t>It is the responsibility of all members to ensure that information is efficiently disseminated to their colleagues and constituencies</w:t>
      </w:r>
      <w:r w:rsidR="14367D1D" w:rsidRPr="0A1056A9">
        <w:rPr>
          <w:rFonts w:ascii="Arial" w:hAnsi="Arial" w:cs="Arial"/>
        </w:rPr>
        <w:t xml:space="preserve">. </w:t>
      </w:r>
    </w:p>
    <w:p w14:paraId="66E499B7" w14:textId="77777777" w:rsidR="002A3F12" w:rsidRPr="002A3F12" w:rsidRDefault="002A3F12" w:rsidP="002A3F12">
      <w:pPr>
        <w:spacing w:before="240" w:after="0" w:line="240" w:lineRule="auto"/>
        <w:rPr>
          <w:rFonts w:ascii="Arial" w:hAnsi="Arial" w:cs="Arial"/>
          <w:b/>
        </w:rPr>
      </w:pPr>
      <w:r w:rsidRPr="002A3F12">
        <w:rPr>
          <w:rFonts w:ascii="Arial" w:hAnsi="Arial" w:cs="Arial"/>
          <w:b/>
        </w:rPr>
        <w:t>Attendance</w:t>
      </w:r>
    </w:p>
    <w:p w14:paraId="6AE9FBFC" w14:textId="638159BE" w:rsidR="002A3F12" w:rsidRPr="002A3F12" w:rsidRDefault="002A3F12" w:rsidP="002A3F12">
      <w:pPr>
        <w:spacing w:before="120" w:after="0" w:line="240" w:lineRule="auto"/>
        <w:ind w:left="426"/>
        <w:rPr>
          <w:rFonts w:ascii="Arial" w:hAnsi="Arial" w:cs="Arial"/>
        </w:rPr>
      </w:pPr>
      <w:r w:rsidRPr="0A1056A9">
        <w:rPr>
          <w:rFonts w:ascii="Arial" w:hAnsi="Arial" w:cs="Arial"/>
        </w:rPr>
        <w:t xml:space="preserve">Members are expected to make all efforts to </w:t>
      </w:r>
      <w:r w:rsidR="00B51A0F" w:rsidRPr="0A1056A9">
        <w:rPr>
          <w:rFonts w:ascii="Arial" w:hAnsi="Arial" w:cs="Arial"/>
        </w:rPr>
        <w:t>attend but</w:t>
      </w:r>
      <w:r w:rsidRPr="0A1056A9">
        <w:rPr>
          <w:rFonts w:ascii="Arial" w:hAnsi="Arial" w:cs="Arial"/>
        </w:rPr>
        <w:t xml:space="preserve"> should arrange a substitute on exceptional occasions when attendance is not possible</w:t>
      </w:r>
      <w:r w:rsidR="6CCA0BEE" w:rsidRPr="0A1056A9">
        <w:rPr>
          <w:rFonts w:ascii="Arial" w:hAnsi="Arial" w:cs="Arial"/>
        </w:rPr>
        <w:t xml:space="preserve">. </w:t>
      </w:r>
    </w:p>
    <w:p w14:paraId="2D74F214" w14:textId="77777777" w:rsidR="002A3F12" w:rsidRPr="002A3F12" w:rsidRDefault="002A3F12" w:rsidP="002A3F12">
      <w:pPr>
        <w:spacing w:before="120" w:after="0" w:line="240" w:lineRule="auto"/>
        <w:rPr>
          <w:rFonts w:ascii="Arial" w:hAnsi="Arial" w:cs="Arial"/>
          <w:b/>
        </w:rPr>
      </w:pPr>
      <w:r w:rsidRPr="002A3F12">
        <w:rPr>
          <w:rFonts w:ascii="Arial" w:hAnsi="Arial" w:cs="Arial"/>
          <w:b/>
        </w:rPr>
        <w:t>Quoracy</w:t>
      </w:r>
    </w:p>
    <w:p w14:paraId="7A77A2BB" w14:textId="7C5BDC0B" w:rsidR="002A3F12" w:rsidRPr="002A3F12" w:rsidRDefault="002A3F12" w:rsidP="002A3F12">
      <w:pPr>
        <w:spacing w:before="120" w:after="0" w:line="240" w:lineRule="auto"/>
        <w:ind w:left="426"/>
        <w:rPr>
          <w:rFonts w:ascii="Arial" w:hAnsi="Arial" w:cs="Arial"/>
        </w:rPr>
      </w:pPr>
      <w:r w:rsidRPr="0A1056A9">
        <w:rPr>
          <w:rFonts w:ascii="Arial" w:hAnsi="Arial" w:cs="Arial"/>
        </w:rPr>
        <w:t>A meeting shall be deemed quorate if at least 50% [12, may increase with courses] of members are present within 20 minutes of the publicised start time</w:t>
      </w:r>
      <w:r w:rsidR="79686FD3" w:rsidRPr="0A1056A9">
        <w:rPr>
          <w:rFonts w:ascii="Arial" w:hAnsi="Arial" w:cs="Arial"/>
        </w:rPr>
        <w:t xml:space="preserve">. </w:t>
      </w:r>
    </w:p>
    <w:p w14:paraId="5AAAEC59" w14:textId="77777777" w:rsidR="002A3F12" w:rsidRPr="002A3F12" w:rsidRDefault="002A3F12" w:rsidP="002A3F12">
      <w:pPr>
        <w:spacing w:before="120" w:after="0" w:line="240" w:lineRule="auto"/>
        <w:ind w:left="426"/>
        <w:rPr>
          <w:rFonts w:ascii="Arial" w:hAnsi="Arial" w:cs="Arial"/>
        </w:rPr>
      </w:pPr>
      <w:r w:rsidRPr="0A1056A9">
        <w:rPr>
          <w:rFonts w:ascii="Arial" w:hAnsi="Arial" w:cs="Arial"/>
        </w:rPr>
        <w:t xml:space="preserve">If quoracy is not achieved, proceedings may </w:t>
      </w:r>
      <w:bookmarkStart w:id="1" w:name="_Int_bhjUiogN"/>
      <w:r w:rsidRPr="0A1056A9">
        <w:rPr>
          <w:rFonts w:ascii="Arial" w:hAnsi="Arial" w:cs="Arial"/>
        </w:rPr>
        <w:t>continue on</w:t>
      </w:r>
      <w:bookmarkEnd w:id="1"/>
      <w:r w:rsidRPr="0A1056A9">
        <w:rPr>
          <w:rFonts w:ascii="Arial" w:hAnsi="Arial" w:cs="Arial"/>
        </w:rPr>
        <w:t xml:space="preserve"> an informal basis at the Chair’s discretion. In such cases, any decisions taken will be circulated to the membership for approval. Failure to respond within 10 working days will be deemed as assent.</w:t>
      </w:r>
    </w:p>
    <w:p w14:paraId="71E7846A" w14:textId="2DBE8E0D" w:rsidR="006D2338" w:rsidRDefault="006D2338" w:rsidP="006D2338">
      <w:pPr>
        <w:spacing w:before="120" w:after="0" w:line="240" w:lineRule="auto"/>
        <w:ind w:left="426"/>
        <w:rPr>
          <w:rFonts w:ascii="Arial" w:hAnsi="Arial" w:cs="Arial"/>
        </w:rPr>
      </w:pPr>
      <w:r w:rsidRPr="002A3F12">
        <w:rPr>
          <w:rFonts w:ascii="Arial" w:hAnsi="Arial" w:cs="Arial"/>
        </w:rPr>
        <w:t>Failure to respond within 10 working days will be deemed as assent.</w:t>
      </w:r>
    </w:p>
    <w:p w14:paraId="1E457F0A" w14:textId="0D90161C" w:rsidR="002A463B" w:rsidRPr="005F2462" w:rsidRDefault="002A463B" w:rsidP="002A463B">
      <w:pPr>
        <w:spacing w:before="120" w:after="0" w:line="240" w:lineRule="auto"/>
        <w:rPr>
          <w:rFonts w:ascii="Arial" w:hAnsi="Arial" w:cs="Arial"/>
          <w:b/>
          <w:bCs/>
        </w:rPr>
      </w:pPr>
      <w:r w:rsidRPr="005F2462">
        <w:rPr>
          <w:rFonts w:ascii="Arial" w:hAnsi="Arial" w:cs="Arial"/>
          <w:b/>
          <w:bCs/>
        </w:rPr>
        <w:t>Sub-Committee</w:t>
      </w:r>
    </w:p>
    <w:p w14:paraId="14D587C9" w14:textId="4C225347" w:rsidR="002A463B" w:rsidRDefault="002A463B" w:rsidP="005F2462">
      <w:pPr>
        <w:spacing w:before="120" w:after="0" w:line="240" w:lineRule="auto"/>
        <w:ind w:firstLine="426"/>
        <w:rPr>
          <w:rFonts w:ascii="Arial" w:hAnsi="Arial" w:cs="Arial"/>
        </w:rPr>
      </w:pPr>
      <w:r>
        <w:rPr>
          <w:rFonts w:ascii="Arial" w:hAnsi="Arial" w:cs="Arial"/>
        </w:rPr>
        <w:t>The Apprenticeship Operations and Compliance Group has the following sub-committee:</w:t>
      </w:r>
    </w:p>
    <w:p w14:paraId="67A416D9" w14:textId="54086D49" w:rsidR="002A463B" w:rsidRPr="005F2462" w:rsidRDefault="002A463B" w:rsidP="005F2462">
      <w:pPr>
        <w:pStyle w:val="ListParagraph"/>
        <w:numPr>
          <w:ilvl w:val="0"/>
          <w:numId w:val="4"/>
        </w:numPr>
        <w:spacing w:before="120" w:after="0" w:line="240" w:lineRule="auto"/>
        <w:ind w:left="0" w:firstLine="709"/>
        <w:rPr>
          <w:rFonts w:ascii="Arial" w:hAnsi="Arial" w:cs="Arial"/>
        </w:rPr>
      </w:pPr>
      <w:r>
        <w:rPr>
          <w:rFonts w:ascii="Arial" w:hAnsi="Arial" w:cs="Arial"/>
        </w:rPr>
        <w:t>Apprenticeship Monitoring Committee</w:t>
      </w:r>
    </w:p>
    <w:p w14:paraId="5FF1E8A0" w14:textId="77777777" w:rsidR="00DC2243" w:rsidRPr="00DC2243" w:rsidRDefault="00DC2243" w:rsidP="00DC2243">
      <w:pPr>
        <w:rPr>
          <w:rFonts w:ascii="Arial" w:hAnsi="Arial" w:cs="Arial"/>
        </w:rPr>
      </w:pPr>
    </w:p>
    <w:p w14:paraId="77F2B82B" w14:textId="77777777" w:rsidR="00DC2243" w:rsidRPr="00DC2243" w:rsidRDefault="00DC2243" w:rsidP="00DC2243">
      <w:pPr>
        <w:rPr>
          <w:rFonts w:ascii="Arial" w:hAnsi="Arial" w:cs="Arial"/>
        </w:rPr>
      </w:pPr>
    </w:p>
    <w:p w14:paraId="7CDCE4D8" w14:textId="77777777" w:rsidR="00DC2243" w:rsidRPr="00DC2243" w:rsidRDefault="00DC2243" w:rsidP="00DC2243">
      <w:pPr>
        <w:rPr>
          <w:rFonts w:ascii="Arial" w:hAnsi="Arial" w:cs="Arial"/>
        </w:rPr>
      </w:pPr>
    </w:p>
    <w:p w14:paraId="4B05AA1B" w14:textId="4F64141E" w:rsidR="00DC2243" w:rsidRPr="00DC2243" w:rsidRDefault="00DC2243" w:rsidP="00DC2243">
      <w:pPr>
        <w:tabs>
          <w:tab w:val="left" w:pos="7130"/>
        </w:tabs>
        <w:rPr>
          <w:rFonts w:ascii="Arial" w:hAnsi="Arial" w:cs="Arial"/>
        </w:rPr>
        <w:sectPr w:rsidR="00DC2243" w:rsidRPr="00DC2243" w:rsidSect="00E14152">
          <w:headerReference w:type="default" r:id="rId11"/>
          <w:footerReference w:type="default" r:id="rId12"/>
          <w:pgSz w:w="11906" w:h="16838"/>
          <w:pgMar w:top="1134" w:right="1134" w:bottom="1134" w:left="1134" w:header="709" w:footer="709" w:gutter="0"/>
          <w:cols w:space="708"/>
          <w:docGrid w:linePitch="360"/>
        </w:sectPr>
      </w:pPr>
      <w:r>
        <w:rPr>
          <w:rFonts w:ascii="Arial" w:hAnsi="Arial" w:cs="Arial"/>
        </w:rPr>
        <w:tab/>
      </w:r>
      <w:r>
        <w:rPr>
          <w:rFonts w:ascii="Arial" w:hAnsi="Arial" w:cs="Arial"/>
        </w:rPr>
        <w:tab/>
      </w:r>
    </w:p>
    <w:tbl>
      <w:tblPr>
        <w:tblStyle w:val="TableGridLight"/>
        <w:tblW w:w="9923" w:type="dxa"/>
        <w:tblLook w:val="04A0" w:firstRow="1" w:lastRow="0" w:firstColumn="1" w:lastColumn="0" w:noHBand="0" w:noVBand="1"/>
      </w:tblPr>
      <w:tblGrid>
        <w:gridCol w:w="6237"/>
        <w:gridCol w:w="3686"/>
      </w:tblGrid>
      <w:tr w:rsidR="00830A11" w:rsidRPr="002809FD" w14:paraId="7046FF87" w14:textId="77777777" w:rsidTr="00A4354E">
        <w:tc>
          <w:tcPr>
            <w:tcW w:w="6237" w:type="dxa"/>
            <w:hideMark/>
          </w:tcPr>
          <w:p w14:paraId="620642A8" w14:textId="77777777" w:rsidR="00830A11" w:rsidRPr="002809FD" w:rsidRDefault="00830A11" w:rsidP="00990370">
            <w:pPr>
              <w:spacing w:before="40" w:after="40"/>
              <w:rPr>
                <w:rFonts w:ascii="Arial" w:hAnsi="Arial" w:cs="Arial"/>
              </w:rPr>
            </w:pPr>
            <w:r w:rsidRPr="002809FD">
              <w:rPr>
                <w:rFonts w:ascii="Arial" w:hAnsi="Arial" w:cs="Arial"/>
                <w:b/>
                <w:bCs/>
                <w:sz w:val="24"/>
                <w:szCs w:val="24"/>
              </w:rPr>
              <w:lastRenderedPageBreak/>
              <w:t xml:space="preserve">Membership </w:t>
            </w:r>
            <w:r w:rsidRPr="002809FD">
              <w:rPr>
                <w:rFonts w:ascii="Arial" w:hAnsi="Arial" w:cs="Arial"/>
              </w:rPr>
              <w:t>(* denotes voting)</w:t>
            </w:r>
          </w:p>
        </w:tc>
        <w:tc>
          <w:tcPr>
            <w:tcW w:w="3686" w:type="dxa"/>
            <w:hideMark/>
          </w:tcPr>
          <w:p w14:paraId="2537FF39" w14:textId="77777777" w:rsidR="00830A11" w:rsidRPr="002809FD" w:rsidRDefault="00830A11" w:rsidP="00990370">
            <w:pPr>
              <w:spacing w:before="40" w:after="40"/>
              <w:jc w:val="right"/>
              <w:rPr>
                <w:rFonts w:ascii="Arial" w:hAnsi="Arial" w:cs="Arial"/>
                <w:b/>
                <w:bCs/>
              </w:rPr>
            </w:pPr>
            <w:r w:rsidRPr="002809FD">
              <w:rPr>
                <w:rFonts w:ascii="Arial" w:hAnsi="Arial" w:cs="Arial"/>
                <w:b/>
                <w:bCs/>
              </w:rPr>
              <w:t>Current members</w:t>
            </w:r>
          </w:p>
        </w:tc>
      </w:tr>
      <w:tr w:rsidR="00830A11" w:rsidRPr="002809FD" w14:paraId="6CF71B95" w14:textId="77777777" w:rsidTr="00A4354E">
        <w:tc>
          <w:tcPr>
            <w:tcW w:w="6237" w:type="dxa"/>
            <w:hideMark/>
          </w:tcPr>
          <w:p w14:paraId="6EC5C55E" w14:textId="77777777" w:rsidR="00830A11" w:rsidRPr="002809FD" w:rsidRDefault="00830A11" w:rsidP="00990370">
            <w:pPr>
              <w:spacing w:before="40" w:after="40"/>
              <w:rPr>
                <w:rFonts w:ascii="Arial" w:hAnsi="Arial" w:cs="Arial"/>
                <w:b/>
                <w:bCs/>
              </w:rPr>
            </w:pPr>
            <w:r w:rsidRPr="002809FD">
              <w:rPr>
                <w:rFonts w:ascii="Arial" w:hAnsi="Arial" w:cs="Arial"/>
                <w:b/>
                <w:bCs/>
              </w:rPr>
              <w:t>Members*</w:t>
            </w:r>
          </w:p>
        </w:tc>
        <w:tc>
          <w:tcPr>
            <w:tcW w:w="3686" w:type="dxa"/>
          </w:tcPr>
          <w:p w14:paraId="34319392" w14:textId="77777777" w:rsidR="00830A11" w:rsidRPr="002809FD" w:rsidRDefault="00830A11" w:rsidP="00990370">
            <w:pPr>
              <w:spacing w:before="40" w:after="40"/>
              <w:jc w:val="right"/>
              <w:rPr>
                <w:rFonts w:ascii="Arial" w:hAnsi="Arial" w:cs="Arial"/>
              </w:rPr>
            </w:pPr>
          </w:p>
        </w:tc>
      </w:tr>
      <w:tr w:rsidR="00E70628" w:rsidRPr="002809FD" w14:paraId="66E46729" w14:textId="77777777" w:rsidTr="00A4354E">
        <w:tc>
          <w:tcPr>
            <w:tcW w:w="6237" w:type="dxa"/>
          </w:tcPr>
          <w:p w14:paraId="1D21997A" w14:textId="68E2DD9B" w:rsidR="00E70628" w:rsidRPr="002809FD" w:rsidRDefault="00E70628" w:rsidP="00990370">
            <w:pPr>
              <w:spacing w:before="20" w:after="20"/>
              <w:rPr>
                <w:rFonts w:ascii="Arial" w:hAnsi="Arial" w:cs="Arial"/>
              </w:rPr>
            </w:pPr>
            <w:r w:rsidRPr="002809FD">
              <w:rPr>
                <w:rFonts w:ascii="Arial" w:hAnsi="Arial" w:cs="Arial"/>
              </w:rPr>
              <w:t>Pro Vice-Chancellor (Education)</w:t>
            </w:r>
            <w:r w:rsidR="00BF030A" w:rsidRPr="002809FD">
              <w:rPr>
                <w:rFonts w:ascii="Arial" w:hAnsi="Arial" w:cs="Arial"/>
              </w:rPr>
              <w:t xml:space="preserve"> (Chair)</w:t>
            </w:r>
          </w:p>
        </w:tc>
        <w:tc>
          <w:tcPr>
            <w:tcW w:w="3686" w:type="dxa"/>
          </w:tcPr>
          <w:p w14:paraId="2D09AAA6" w14:textId="359ACC36" w:rsidR="00E70628" w:rsidRPr="002809FD" w:rsidRDefault="0023500A" w:rsidP="00990370">
            <w:pPr>
              <w:spacing w:before="20" w:after="20"/>
              <w:jc w:val="right"/>
              <w:rPr>
                <w:rFonts w:ascii="Arial" w:hAnsi="Arial" w:cs="Arial"/>
              </w:rPr>
            </w:pPr>
            <w:r>
              <w:rPr>
                <w:rFonts w:ascii="Arial" w:hAnsi="Arial" w:cs="Arial"/>
              </w:rPr>
              <w:t>Joanna MacDonnell</w:t>
            </w:r>
          </w:p>
        </w:tc>
      </w:tr>
      <w:tr w:rsidR="00830A11" w:rsidRPr="002809FD" w14:paraId="0CCE1F23" w14:textId="77777777" w:rsidTr="00A4354E">
        <w:tc>
          <w:tcPr>
            <w:tcW w:w="6237" w:type="dxa"/>
            <w:hideMark/>
          </w:tcPr>
          <w:p w14:paraId="0EC4B1AC" w14:textId="77777777" w:rsidR="001E6359" w:rsidRPr="002809FD" w:rsidRDefault="001E6359" w:rsidP="00990370">
            <w:pPr>
              <w:spacing w:before="20" w:after="20"/>
              <w:rPr>
                <w:rFonts w:ascii="Arial" w:hAnsi="Arial" w:cs="Arial"/>
              </w:rPr>
            </w:pPr>
            <w:bookmarkStart w:id="2" w:name="_Hlk80027335"/>
            <w:r w:rsidRPr="002809FD">
              <w:rPr>
                <w:rFonts w:ascii="Arial" w:hAnsi="Arial" w:cs="Arial"/>
              </w:rPr>
              <w:t>Course representation (x2)</w:t>
            </w:r>
          </w:p>
          <w:p w14:paraId="791EA72C" w14:textId="578E7253" w:rsidR="00830A11" w:rsidRPr="002809FD" w:rsidRDefault="0080389C" w:rsidP="00990370">
            <w:pPr>
              <w:spacing w:before="20" w:after="20"/>
              <w:rPr>
                <w:rFonts w:ascii="Arial" w:hAnsi="Arial" w:cs="Arial"/>
              </w:rPr>
            </w:pPr>
            <w:r w:rsidRPr="002809FD">
              <w:rPr>
                <w:rFonts w:ascii="Arial" w:hAnsi="Arial" w:cs="Arial"/>
              </w:rPr>
              <w:t xml:space="preserve">One </w:t>
            </w:r>
            <w:r w:rsidR="00976F46" w:rsidRPr="002809FD">
              <w:rPr>
                <w:rFonts w:ascii="Arial" w:hAnsi="Arial" w:cs="Arial"/>
              </w:rPr>
              <w:t>course leader</w:t>
            </w:r>
            <w:r w:rsidR="0026363E" w:rsidRPr="002809FD">
              <w:rPr>
                <w:rFonts w:ascii="Arial" w:hAnsi="Arial" w:cs="Arial"/>
              </w:rPr>
              <w:t xml:space="preserve">, delivering apprenticeship courses, </w:t>
            </w:r>
            <w:r w:rsidR="00976F46" w:rsidRPr="002809FD">
              <w:rPr>
                <w:rFonts w:ascii="Arial" w:hAnsi="Arial" w:cs="Arial"/>
              </w:rPr>
              <w:t>from each faculty</w:t>
            </w:r>
          </w:p>
        </w:tc>
        <w:tc>
          <w:tcPr>
            <w:tcW w:w="3686" w:type="dxa"/>
          </w:tcPr>
          <w:p w14:paraId="6B89494E" w14:textId="1F14C2B7" w:rsidR="00830A11" w:rsidRPr="002809FD" w:rsidRDefault="00ED1075" w:rsidP="00270CDA">
            <w:pPr>
              <w:spacing w:before="20" w:after="20"/>
              <w:jc w:val="right"/>
              <w:rPr>
                <w:rFonts w:ascii="Arial" w:hAnsi="Arial" w:cs="Arial"/>
              </w:rPr>
            </w:pPr>
            <w:r w:rsidRPr="002809FD">
              <w:rPr>
                <w:rFonts w:ascii="Arial" w:hAnsi="Arial" w:cs="Arial"/>
              </w:rPr>
              <w:t>X 2</w:t>
            </w:r>
          </w:p>
        </w:tc>
        <w:bookmarkEnd w:id="2"/>
      </w:tr>
      <w:tr w:rsidR="001E6359" w:rsidRPr="002809FD" w14:paraId="3E057863" w14:textId="77777777" w:rsidTr="00A4354E">
        <w:tc>
          <w:tcPr>
            <w:tcW w:w="6237" w:type="dxa"/>
          </w:tcPr>
          <w:p w14:paraId="2A0A6032" w14:textId="6D1CE280" w:rsidR="001E6359" w:rsidRPr="002809FD" w:rsidRDefault="006159A2" w:rsidP="00990370">
            <w:pPr>
              <w:spacing w:before="20" w:after="20"/>
              <w:rPr>
                <w:rFonts w:ascii="Arial" w:hAnsi="Arial" w:cs="Arial"/>
              </w:rPr>
            </w:pPr>
            <w:r>
              <w:rPr>
                <w:rFonts w:ascii="Arial" w:hAnsi="Arial" w:cs="Arial"/>
              </w:rPr>
              <w:t>Deputy Deans</w:t>
            </w:r>
            <w:r w:rsidR="001F42B1" w:rsidRPr="002809FD">
              <w:rPr>
                <w:rFonts w:ascii="Arial" w:hAnsi="Arial" w:cs="Arial"/>
              </w:rPr>
              <w:t xml:space="preserve"> </w:t>
            </w:r>
            <w:r w:rsidR="004F66DA" w:rsidRPr="002809FD">
              <w:rPr>
                <w:rFonts w:ascii="Arial" w:hAnsi="Arial" w:cs="Arial"/>
              </w:rPr>
              <w:t>and/</w:t>
            </w:r>
            <w:r w:rsidR="001F42B1" w:rsidRPr="002809FD">
              <w:rPr>
                <w:rFonts w:ascii="Arial" w:hAnsi="Arial" w:cs="Arial"/>
              </w:rPr>
              <w:t>or equivalent</w:t>
            </w:r>
            <w:r w:rsidR="00B86DDB" w:rsidRPr="002809FD">
              <w:rPr>
                <w:rFonts w:ascii="Arial" w:hAnsi="Arial" w:cs="Arial"/>
              </w:rPr>
              <w:t xml:space="preserve"> FLT representative</w:t>
            </w:r>
          </w:p>
        </w:tc>
        <w:tc>
          <w:tcPr>
            <w:tcW w:w="3686" w:type="dxa"/>
          </w:tcPr>
          <w:p w14:paraId="309C6261" w14:textId="72DC2CD8" w:rsidR="006159A2" w:rsidRDefault="005A0836" w:rsidP="006159A2">
            <w:pPr>
              <w:spacing w:before="40" w:after="40"/>
              <w:jc w:val="right"/>
              <w:rPr>
                <w:rFonts w:ascii="Arial" w:hAnsi="Arial" w:cs="Arial"/>
              </w:rPr>
            </w:pPr>
            <w:r>
              <w:rPr>
                <w:rFonts w:ascii="Arial" w:hAnsi="Arial" w:cs="Arial"/>
              </w:rPr>
              <w:t>Nick Gorse</w:t>
            </w:r>
            <w:r w:rsidR="00350307">
              <w:rPr>
                <w:rFonts w:ascii="Arial" w:hAnsi="Arial" w:cs="Arial"/>
              </w:rPr>
              <w:t>, Deputy Dean KSA</w:t>
            </w:r>
            <w:r>
              <w:rPr>
                <w:rFonts w:ascii="Arial" w:hAnsi="Arial" w:cs="Arial"/>
              </w:rPr>
              <w:t xml:space="preserve"> </w:t>
            </w:r>
          </w:p>
          <w:p w14:paraId="38FD956C" w14:textId="639AC7DF" w:rsidR="00AE13C5" w:rsidRDefault="00AE13C5" w:rsidP="006159A2">
            <w:pPr>
              <w:spacing w:before="40" w:after="40"/>
              <w:jc w:val="right"/>
              <w:rPr>
                <w:rFonts w:ascii="Arial" w:hAnsi="Arial" w:cs="Arial"/>
              </w:rPr>
            </w:pPr>
            <w:r>
              <w:rPr>
                <w:rFonts w:ascii="Arial" w:hAnsi="Arial" w:cs="Arial"/>
              </w:rPr>
              <w:t>Susan Barker</w:t>
            </w:r>
            <w:r w:rsidR="00350307">
              <w:rPr>
                <w:rFonts w:ascii="Arial" w:hAnsi="Arial" w:cs="Arial"/>
              </w:rPr>
              <w:t>, Deputy Dean HSSCE</w:t>
            </w:r>
          </w:p>
          <w:p w14:paraId="4347471D" w14:textId="4D29F25C" w:rsidR="00AE13C5" w:rsidRDefault="00AE13C5" w:rsidP="006159A2">
            <w:pPr>
              <w:spacing w:before="40" w:after="40"/>
              <w:jc w:val="right"/>
              <w:rPr>
                <w:rFonts w:ascii="Arial" w:hAnsi="Arial" w:cs="Arial"/>
              </w:rPr>
            </w:pPr>
            <w:r>
              <w:rPr>
                <w:rFonts w:ascii="Arial" w:hAnsi="Arial" w:cs="Arial"/>
              </w:rPr>
              <w:t>Gary Betts</w:t>
            </w:r>
            <w:r w:rsidR="00350307">
              <w:rPr>
                <w:rFonts w:ascii="Arial" w:hAnsi="Arial" w:cs="Arial"/>
              </w:rPr>
              <w:t>, Deputy Dean FBSS</w:t>
            </w:r>
          </w:p>
          <w:p w14:paraId="32769296" w14:textId="45B126F2" w:rsidR="00AE13C5" w:rsidRDefault="00AE13C5" w:rsidP="006159A2">
            <w:pPr>
              <w:spacing w:before="40" w:after="40"/>
              <w:jc w:val="right"/>
              <w:rPr>
                <w:rFonts w:ascii="Arial" w:hAnsi="Arial" w:cs="Arial"/>
              </w:rPr>
            </w:pPr>
            <w:r>
              <w:rPr>
                <w:rFonts w:ascii="Arial" w:hAnsi="Arial" w:cs="Arial"/>
              </w:rPr>
              <w:t>Damian Chapman</w:t>
            </w:r>
            <w:r w:rsidR="00350307">
              <w:rPr>
                <w:rFonts w:ascii="Arial" w:hAnsi="Arial" w:cs="Arial"/>
              </w:rPr>
              <w:t>, Deputy Dean ECE</w:t>
            </w:r>
          </w:p>
          <w:p w14:paraId="6B1920A0" w14:textId="5FE50607" w:rsidR="004F66DA" w:rsidRPr="002809FD" w:rsidRDefault="004F66DA" w:rsidP="003E5386">
            <w:pPr>
              <w:spacing w:before="20" w:after="20"/>
              <w:jc w:val="right"/>
              <w:rPr>
                <w:rFonts w:ascii="Arial" w:hAnsi="Arial" w:cs="Arial"/>
              </w:rPr>
            </w:pPr>
            <w:r w:rsidRPr="002809FD">
              <w:rPr>
                <w:rFonts w:ascii="Arial" w:hAnsi="Arial" w:cs="Arial"/>
              </w:rPr>
              <w:t xml:space="preserve">Prof Mukesh </w:t>
            </w:r>
            <w:proofErr w:type="spellStart"/>
            <w:r w:rsidRPr="002809FD">
              <w:rPr>
                <w:rFonts w:ascii="Arial" w:hAnsi="Arial" w:cs="Arial"/>
              </w:rPr>
              <w:t>Limbachiya</w:t>
            </w:r>
            <w:proofErr w:type="spellEnd"/>
            <w:r w:rsidR="00523B9D" w:rsidRPr="002809FD">
              <w:rPr>
                <w:rFonts w:ascii="Arial" w:hAnsi="Arial" w:cs="Arial"/>
              </w:rPr>
              <w:t xml:space="preserve"> (</w:t>
            </w:r>
            <w:r w:rsidR="00374A6B" w:rsidRPr="002809FD">
              <w:rPr>
                <w:rFonts w:ascii="Arial" w:hAnsi="Arial" w:cs="Arial"/>
              </w:rPr>
              <w:t>Head of Apprenticeships, ECE)</w:t>
            </w:r>
          </w:p>
        </w:tc>
      </w:tr>
      <w:tr w:rsidR="00830A11" w:rsidRPr="002809FD" w14:paraId="1268264F" w14:textId="77777777" w:rsidTr="00A4354E">
        <w:tc>
          <w:tcPr>
            <w:tcW w:w="6237" w:type="dxa"/>
          </w:tcPr>
          <w:p w14:paraId="47742E18" w14:textId="0B58E31F" w:rsidR="003727F7" w:rsidRDefault="003727F7" w:rsidP="00990370">
            <w:pPr>
              <w:spacing w:before="20" w:after="20"/>
              <w:rPr>
                <w:rFonts w:ascii="Arial" w:hAnsi="Arial" w:cs="Arial"/>
              </w:rPr>
            </w:pPr>
            <w:r>
              <w:rPr>
                <w:rFonts w:ascii="Arial" w:hAnsi="Arial" w:cs="Arial"/>
              </w:rPr>
              <w:t>Assistant Registrar (QAE)</w:t>
            </w:r>
          </w:p>
          <w:p w14:paraId="34FC401D" w14:textId="4448BC46" w:rsidR="00830A11" w:rsidRPr="002809FD" w:rsidRDefault="00830A11" w:rsidP="00990370">
            <w:pPr>
              <w:spacing w:before="20" w:after="20"/>
              <w:rPr>
                <w:rFonts w:ascii="Arial" w:hAnsi="Arial" w:cs="Arial"/>
              </w:rPr>
            </w:pPr>
          </w:p>
        </w:tc>
        <w:tc>
          <w:tcPr>
            <w:tcW w:w="3686" w:type="dxa"/>
            <w:hideMark/>
          </w:tcPr>
          <w:p w14:paraId="4C346DE1" w14:textId="43942CB2" w:rsidR="00830A11" w:rsidRPr="004477F2" w:rsidRDefault="00602C31" w:rsidP="00990370">
            <w:pPr>
              <w:spacing w:before="20" w:after="20"/>
              <w:jc w:val="right"/>
              <w:rPr>
                <w:rFonts w:ascii="Arial" w:hAnsi="Arial" w:cs="Arial"/>
              </w:rPr>
            </w:pPr>
            <w:r>
              <w:rPr>
                <w:rFonts w:ascii="Arial" w:hAnsi="Arial" w:cs="Arial"/>
              </w:rPr>
              <w:t>Naomi Williams</w:t>
            </w:r>
          </w:p>
        </w:tc>
      </w:tr>
      <w:tr w:rsidR="00830A11" w:rsidRPr="002809FD" w14:paraId="5F77D4EE" w14:textId="77777777" w:rsidTr="00A4354E">
        <w:tc>
          <w:tcPr>
            <w:tcW w:w="6237" w:type="dxa"/>
            <w:hideMark/>
          </w:tcPr>
          <w:p w14:paraId="409268CF" w14:textId="356B96D5" w:rsidR="00830A11" w:rsidRPr="002809FD" w:rsidRDefault="00830A11" w:rsidP="00990370">
            <w:pPr>
              <w:spacing w:before="20" w:after="20"/>
              <w:rPr>
                <w:rFonts w:ascii="Arial" w:hAnsi="Arial" w:cs="Arial"/>
              </w:rPr>
            </w:pPr>
            <w:r w:rsidRPr="002809FD">
              <w:rPr>
                <w:rFonts w:ascii="Arial" w:hAnsi="Arial" w:cs="Arial"/>
              </w:rPr>
              <w:t xml:space="preserve">Head of Quality Assurance &amp; Enhancement (or nominee-QAE Apprenticeship Lead), </w:t>
            </w:r>
          </w:p>
        </w:tc>
        <w:tc>
          <w:tcPr>
            <w:tcW w:w="3686" w:type="dxa"/>
            <w:hideMark/>
          </w:tcPr>
          <w:p w14:paraId="4BCBAB4F" w14:textId="69424963" w:rsidR="00830A11" w:rsidRPr="004477F2" w:rsidRDefault="00ED5AE6" w:rsidP="00990370">
            <w:pPr>
              <w:spacing w:before="20" w:after="20"/>
              <w:jc w:val="right"/>
              <w:rPr>
                <w:rFonts w:ascii="Arial" w:hAnsi="Arial" w:cs="Arial"/>
              </w:rPr>
            </w:pPr>
            <w:r w:rsidRPr="004477F2">
              <w:rPr>
                <w:rFonts w:ascii="Arial" w:hAnsi="Arial" w:cs="Arial"/>
              </w:rPr>
              <w:t>Syed Islam</w:t>
            </w:r>
            <w:r w:rsidR="009D5E38" w:rsidRPr="004477F2">
              <w:rPr>
                <w:rFonts w:ascii="Arial" w:hAnsi="Arial" w:cs="Arial"/>
                <w:color w:val="FF0000"/>
              </w:rPr>
              <w:t xml:space="preserve"> </w:t>
            </w:r>
            <w:r w:rsidR="00830A11" w:rsidRPr="004477F2">
              <w:rPr>
                <w:rFonts w:ascii="Arial" w:hAnsi="Arial" w:cs="Arial"/>
                <w:color w:val="FF0000"/>
              </w:rPr>
              <w:t xml:space="preserve"> </w:t>
            </w:r>
          </w:p>
        </w:tc>
      </w:tr>
      <w:tr w:rsidR="005F6121" w:rsidRPr="002809FD" w14:paraId="408153B7" w14:textId="77777777" w:rsidTr="00A4354E">
        <w:tc>
          <w:tcPr>
            <w:tcW w:w="6237" w:type="dxa"/>
          </w:tcPr>
          <w:p w14:paraId="2BF84175" w14:textId="64D6EB23" w:rsidR="005F6121" w:rsidRPr="002809FD" w:rsidDel="003727F7" w:rsidRDefault="005F6121" w:rsidP="00990370">
            <w:pPr>
              <w:spacing w:before="20" w:after="20"/>
              <w:rPr>
                <w:rFonts w:ascii="Arial" w:hAnsi="Arial" w:cs="Arial"/>
              </w:rPr>
            </w:pPr>
            <w:r>
              <w:rPr>
                <w:rFonts w:ascii="Arial" w:hAnsi="Arial" w:cs="Arial"/>
              </w:rPr>
              <w:t>Student Recruitment and Admissions Director</w:t>
            </w:r>
          </w:p>
        </w:tc>
        <w:tc>
          <w:tcPr>
            <w:tcW w:w="3686" w:type="dxa"/>
          </w:tcPr>
          <w:p w14:paraId="6DF3E411" w14:textId="1E1EEEDA" w:rsidR="005F6121" w:rsidRPr="00C974DE" w:rsidDel="003727F7" w:rsidRDefault="004E6DEB" w:rsidP="00990370">
            <w:pPr>
              <w:spacing w:before="20" w:after="20"/>
              <w:jc w:val="right"/>
              <w:rPr>
                <w:rFonts w:ascii="Arial" w:hAnsi="Arial" w:cs="Arial"/>
              </w:rPr>
            </w:pPr>
            <w:r w:rsidRPr="00C974DE">
              <w:rPr>
                <w:rFonts w:ascii="Arial" w:hAnsi="Arial" w:cs="Arial"/>
              </w:rPr>
              <w:t>Sukh Chonk</w:t>
            </w:r>
          </w:p>
        </w:tc>
      </w:tr>
      <w:tr w:rsidR="00830A11" w:rsidRPr="002809FD" w14:paraId="3FAE77D8" w14:textId="77777777" w:rsidTr="00A4354E">
        <w:tc>
          <w:tcPr>
            <w:tcW w:w="6237" w:type="dxa"/>
            <w:hideMark/>
          </w:tcPr>
          <w:p w14:paraId="4921D6EE" w14:textId="77777777" w:rsidR="00830A11" w:rsidRPr="002809FD" w:rsidRDefault="00830A11" w:rsidP="00990370">
            <w:pPr>
              <w:spacing w:before="20" w:after="20"/>
              <w:rPr>
                <w:rFonts w:ascii="Arial" w:hAnsi="Arial" w:cs="Arial"/>
              </w:rPr>
            </w:pPr>
            <w:r w:rsidRPr="002809FD">
              <w:rPr>
                <w:rFonts w:ascii="Arial" w:hAnsi="Arial" w:cs="Arial"/>
              </w:rPr>
              <w:t>Finance Business Partner (Nominee)</w:t>
            </w:r>
          </w:p>
        </w:tc>
        <w:tc>
          <w:tcPr>
            <w:tcW w:w="3686" w:type="dxa"/>
            <w:hideMark/>
          </w:tcPr>
          <w:p w14:paraId="323F4107" w14:textId="23BDF4AB" w:rsidR="00830A11" w:rsidRPr="004477F2" w:rsidRDefault="004E6DEB" w:rsidP="00990370">
            <w:pPr>
              <w:spacing w:before="20" w:after="20"/>
              <w:jc w:val="right"/>
              <w:rPr>
                <w:rFonts w:ascii="Arial" w:hAnsi="Arial" w:cs="Arial"/>
              </w:rPr>
            </w:pPr>
            <w:r>
              <w:rPr>
                <w:rFonts w:ascii="Arial" w:hAnsi="Arial" w:cs="Arial"/>
              </w:rPr>
              <w:t>Sian Griffiths / Linda Major</w:t>
            </w:r>
          </w:p>
        </w:tc>
      </w:tr>
      <w:tr w:rsidR="00602C31" w:rsidRPr="002809FD" w14:paraId="53FCD234" w14:textId="77777777" w:rsidTr="00A4354E">
        <w:tc>
          <w:tcPr>
            <w:tcW w:w="6237" w:type="dxa"/>
          </w:tcPr>
          <w:p w14:paraId="016B1D08" w14:textId="4C6ED09B" w:rsidR="00602C31" w:rsidRPr="002809FD" w:rsidRDefault="007F252E" w:rsidP="00990370">
            <w:pPr>
              <w:spacing w:before="20" w:after="20"/>
              <w:rPr>
                <w:rFonts w:ascii="Arial" w:hAnsi="Arial" w:cs="Arial"/>
              </w:rPr>
            </w:pPr>
            <w:r>
              <w:rPr>
                <w:rFonts w:ascii="Arial" w:hAnsi="Arial" w:cs="Arial"/>
              </w:rPr>
              <w:t>Academic Registry Representative</w:t>
            </w:r>
          </w:p>
        </w:tc>
        <w:tc>
          <w:tcPr>
            <w:tcW w:w="3686" w:type="dxa"/>
          </w:tcPr>
          <w:p w14:paraId="05457096" w14:textId="41E68421" w:rsidR="00602C31" w:rsidRDefault="007F252E" w:rsidP="00990370">
            <w:pPr>
              <w:spacing w:before="20" w:after="20"/>
              <w:jc w:val="right"/>
              <w:rPr>
                <w:rFonts w:ascii="Arial" w:hAnsi="Arial" w:cs="Arial"/>
              </w:rPr>
            </w:pPr>
            <w:r>
              <w:rPr>
                <w:rFonts w:ascii="Arial" w:hAnsi="Arial" w:cs="Arial"/>
              </w:rPr>
              <w:t>Neil Owens</w:t>
            </w:r>
          </w:p>
        </w:tc>
      </w:tr>
      <w:tr w:rsidR="00830A11" w:rsidRPr="002809FD" w14:paraId="52D96A0E" w14:textId="77777777" w:rsidTr="00A4354E">
        <w:tc>
          <w:tcPr>
            <w:tcW w:w="6237" w:type="dxa"/>
            <w:hideMark/>
          </w:tcPr>
          <w:p w14:paraId="295E2C4A" w14:textId="64037EE6" w:rsidR="00830A11" w:rsidRPr="002809FD" w:rsidRDefault="00BF030A" w:rsidP="00990370">
            <w:pPr>
              <w:spacing w:before="20" w:after="20"/>
              <w:rPr>
                <w:rFonts w:ascii="Arial" w:hAnsi="Arial" w:cs="Arial"/>
              </w:rPr>
            </w:pPr>
            <w:r w:rsidRPr="002809FD">
              <w:rPr>
                <w:rFonts w:ascii="Arial" w:hAnsi="Arial" w:cs="Arial"/>
              </w:rPr>
              <w:t xml:space="preserve">Degree </w:t>
            </w:r>
            <w:r w:rsidR="00830A11" w:rsidRPr="002809FD">
              <w:rPr>
                <w:rFonts w:ascii="Arial" w:hAnsi="Arial" w:cs="Arial"/>
              </w:rPr>
              <w:t>Apprenticeship</w:t>
            </w:r>
            <w:r w:rsidRPr="002809FD">
              <w:rPr>
                <w:rFonts w:ascii="Arial" w:hAnsi="Arial" w:cs="Arial"/>
              </w:rPr>
              <w:t>s</w:t>
            </w:r>
            <w:r w:rsidR="00830A11" w:rsidRPr="002809FD">
              <w:rPr>
                <w:rFonts w:ascii="Arial" w:hAnsi="Arial" w:cs="Arial"/>
              </w:rPr>
              <w:t xml:space="preserve"> Compliance Manager, AS (Clerk)</w:t>
            </w:r>
          </w:p>
        </w:tc>
        <w:tc>
          <w:tcPr>
            <w:tcW w:w="3686" w:type="dxa"/>
            <w:hideMark/>
          </w:tcPr>
          <w:p w14:paraId="1CD5D858" w14:textId="2338525E" w:rsidR="00830A11" w:rsidRPr="004477F2" w:rsidRDefault="005F6121" w:rsidP="00990370">
            <w:pPr>
              <w:spacing w:before="20" w:after="20"/>
              <w:jc w:val="right"/>
              <w:rPr>
                <w:rFonts w:ascii="Arial" w:hAnsi="Arial" w:cs="Arial"/>
              </w:rPr>
            </w:pPr>
            <w:r w:rsidRPr="004477F2">
              <w:rPr>
                <w:rFonts w:ascii="Arial" w:hAnsi="Arial" w:cs="Arial"/>
                <w:color w:val="000000" w:themeColor="text1"/>
              </w:rPr>
              <w:t>Sylvia Roberts Law</w:t>
            </w:r>
          </w:p>
        </w:tc>
      </w:tr>
      <w:tr w:rsidR="00830A11" w:rsidRPr="002809FD" w14:paraId="2E4E5A57" w14:textId="77777777" w:rsidTr="00A4354E">
        <w:tc>
          <w:tcPr>
            <w:tcW w:w="6237" w:type="dxa"/>
          </w:tcPr>
          <w:p w14:paraId="50ADC89B" w14:textId="77777777" w:rsidR="00830A11" w:rsidRPr="002809FD" w:rsidRDefault="00830A11" w:rsidP="00990370">
            <w:pPr>
              <w:spacing w:before="20" w:after="20"/>
              <w:rPr>
                <w:rFonts w:ascii="Arial" w:hAnsi="Arial" w:cs="Arial"/>
                <w:sz w:val="12"/>
                <w:szCs w:val="12"/>
              </w:rPr>
            </w:pPr>
          </w:p>
        </w:tc>
        <w:tc>
          <w:tcPr>
            <w:tcW w:w="3686" w:type="dxa"/>
          </w:tcPr>
          <w:p w14:paraId="35F5B5DB" w14:textId="77777777" w:rsidR="00830A11" w:rsidRPr="002809FD" w:rsidRDefault="00830A11" w:rsidP="00990370">
            <w:pPr>
              <w:spacing w:before="20" w:after="20"/>
              <w:jc w:val="right"/>
              <w:rPr>
                <w:rFonts w:ascii="Arial" w:hAnsi="Arial" w:cs="Arial"/>
                <w:sz w:val="12"/>
                <w:szCs w:val="12"/>
              </w:rPr>
            </w:pPr>
          </w:p>
        </w:tc>
      </w:tr>
      <w:tr w:rsidR="00830A11" w:rsidRPr="002809FD" w14:paraId="079F88BB" w14:textId="77777777" w:rsidTr="00A4354E">
        <w:tc>
          <w:tcPr>
            <w:tcW w:w="6237" w:type="dxa"/>
            <w:hideMark/>
          </w:tcPr>
          <w:p w14:paraId="0EEC95E6" w14:textId="77777777" w:rsidR="00830A11" w:rsidRPr="002809FD" w:rsidRDefault="00830A11" w:rsidP="00990370">
            <w:pPr>
              <w:spacing w:before="20" w:after="20"/>
              <w:rPr>
                <w:rFonts w:ascii="Arial" w:hAnsi="Arial" w:cs="Arial"/>
                <w:b/>
                <w:bCs/>
              </w:rPr>
            </w:pPr>
            <w:r w:rsidRPr="002809FD">
              <w:rPr>
                <w:rFonts w:ascii="Arial" w:hAnsi="Arial" w:cs="Arial"/>
                <w:b/>
                <w:bCs/>
              </w:rPr>
              <w:t>In Attendance</w:t>
            </w:r>
          </w:p>
        </w:tc>
        <w:tc>
          <w:tcPr>
            <w:tcW w:w="3686" w:type="dxa"/>
          </w:tcPr>
          <w:p w14:paraId="253F4750" w14:textId="77777777" w:rsidR="00830A11" w:rsidRPr="002809FD" w:rsidRDefault="00830A11" w:rsidP="00990370">
            <w:pPr>
              <w:spacing w:before="20" w:after="20"/>
              <w:jc w:val="right"/>
              <w:rPr>
                <w:rFonts w:ascii="Arial" w:hAnsi="Arial" w:cs="Arial"/>
              </w:rPr>
            </w:pPr>
          </w:p>
        </w:tc>
      </w:tr>
      <w:tr w:rsidR="00830A11" w:rsidRPr="002809FD" w14:paraId="240398FC" w14:textId="77777777" w:rsidTr="00A4354E">
        <w:tc>
          <w:tcPr>
            <w:tcW w:w="6237" w:type="dxa"/>
            <w:hideMark/>
          </w:tcPr>
          <w:p w14:paraId="0E4D180C" w14:textId="77777777" w:rsidR="00830A11" w:rsidRPr="002809FD" w:rsidRDefault="00830A11" w:rsidP="00990370">
            <w:pPr>
              <w:spacing w:before="20" w:after="20"/>
              <w:rPr>
                <w:rFonts w:ascii="Arial" w:hAnsi="Arial" w:cs="Arial"/>
              </w:rPr>
            </w:pPr>
            <w:r w:rsidRPr="002809FD">
              <w:rPr>
                <w:rFonts w:ascii="Arial" w:hAnsi="Arial" w:cs="Arial"/>
              </w:rPr>
              <w:t>As invited / required</w:t>
            </w:r>
          </w:p>
        </w:tc>
        <w:tc>
          <w:tcPr>
            <w:tcW w:w="3686" w:type="dxa"/>
          </w:tcPr>
          <w:p w14:paraId="3EA03AFC" w14:textId="77777777" w:rsidR="00830A11" w:rsidRPr="002809FD" w:rsidRDefault="00830A11" w:rsidP="00990370">
            <w:pPr>
              <w:spacing w:before="20" w:after="20"/>
              <w:jc w:val="right"/>
              <w:rPr>
                <w:rFonts w:ascii="Arial" w:hAnsi="Arial" w:cs="Arial"/>
              </w:rPr>
            </w:pPr>
          </w:p>
        </w:tc>
      </w:tr>
      <w:tr w:rsidR="00830A11" w:rsidRPr="002809FD" w14:paraId="43BC53E8" w14:textId="77777777" w:rsidTr="00A4354E">
        <w:tc>
          <w:tcPr>
            <w:tcW w:w="6237" w:type="dxa"/>
            <w:hideMark/>
          </w:tcPr>
          <w:p w14:paraId="3910C14E" w14:textId="57C5CF4E" w:rsidR="00830A11" w:rsidRPr="002809FD" w:rsidRDefault="00830A11" w:rsidP="00990370">
            <w:pPr>
              <w:spacing w:before="20" w:after="20"/>
              <w:rPr>
                <w:rFonts w:ascii="Arial" w:hAnsi="Arial" w:cs="Arial"/>
              </w:rPr>
            </w:pPr>
            <w:r w:rsidRPr="002809FD">
              <w:rPr>
                <w:rFonts w:ascii="Arial" w:hAnsi="Arial" w:cs="Arial"/>
              </w:rPr>
              <w:t>Degree Apprenticeships</w:t>
            </w:r>
            <w:r w:rsidR="00A2140F">
              <w:rPr>
                <w:rFonts w:ascii="Arial" w:hAnsi="Arial" w:cs="Arial"/>
              </w:rPr>
              <w:t xml:space="preserve"> Coordinator</w:t>
            </w:r>
            <w:r w:rsidRPr="002809FD">
              <w:rPr>
                <w:rFonts w:ascii="Arial" w:hAnsi="Arial" w:cs="Arial"/>
              </w:rPr>
              <w:t xml:space="preserve"> </w:t>
            </w:r>
          </w:p>
        </w:tc>
        <w:tc>
          <w:tcPr>
            <w:tcW w:w="3686" w:type="dxa"/>
            <w:hideMark/>
          </w:tcPr>
          <w:p w14:paraId="52D4AB4C" w14:textId="5AAEC08C" w:rsidR="00830A11" w:rsidRPr="002809FD" w:rsidRDefault="003A13A4" w:rsidP="00990370">
            <w:pPr>
              <w:spacing w:before="20" w:after="20"/>
              <w:jc w:val="right"/>
              <w:rPr>
                <w:rFonts w:ascii="Arial" w:hAnsi="Arial" w:cs="Arial"/>
              </w:rPr>
            </w:pPr>
            <w:r>
              <w:rPr>
                <w:rFonts w:ascii="Arial" w:hAnsi="Arial" w:cs="Arial"/>
              </w:rPr>
              <w:t>Saliha Yilmaz</w:t>
            </w:r>
          </w:p>
        </w:tc>
      </w:tr>
      <w:tr w:rsidR="00830A11" w:rsidRPr="002809FD" w14:paraId="6FE22ABA" w14:textId="77777777" w:rsidTr="00A4354E">
        <w:tc>
          <w:tcPr>
            <w:tcW w:w="6237" w:type="dxa"/>
            <w:hideMark/>
          </w:tcPr>
          <w:p w14:paraId="2AEBC832" w14:textId="496004EF" w:rsidR="00830A11" w:rsidRPr="002809FD" w:rsidRDefault="00830A11" w:rsidP="00990370">
            <w:pPr>
              <w:spacing w:before="20" w:after="20"/>
              <w:rPr>
                <w:rFonts w:ascii="Arial" w:hAnsi="Arial" w:cs="Arial"/>
              </w:rPr>
            </w:pPr>
          </w:p>
        </w:tc>
        <w:tc>
          <w:tcPr>
            <w:tcW w:w="3686" w:type="dxa"/>
            <w:hideMark/>
          </w:tcPr>
          <w:p w14:paraId="326BE2A2" w14:textId="3116898B" w:rsidR="00830A11" w:rsidRPr="002809FD" w:rsidRDefault="00830A11" w:rsidP="00990370">
            <w:pPr>
              <w:spacing w:before="20" w:after="20"/>
              <w:jc w:val="right"/>
              <w:rPr>
                <w:rFonts w:ascii="Arial" w:hAnsi="Arial" w:cs="Arial"/>
              </w:rPr>
            </w:pPr>
          </w:p>
        </w:tc>
      </w:tr>
    </w:tbl>
    <w:p w14:paraId="4A03C18E" w14:textId="77777777" w:rsidR="00370534" w:rsidRPr="002809FD" w:rsidRDefault="00370534" w:rsidP="00D057A9">
      <w:pPr>
        <w:spacing w:before="20" w:after="20" w:line="240" w:lineRule="auto"/>
        <w:rPr>
          <w:rFonts w:ascii="Arial" w:hAnsi="Arial" w:cs="Arial"/>
          <w:color w:val="000000" w:themeColor="text1"/>
        </w:rPr>
      </w:pPr>
    </w:p>
    <w:p w14:paraId="502B1958" w14:textId="61199ECC" w:rsidR="008F6A40" w:rsidRDefault="008F6A40">
      <w:pPr>
        <w:spacing w:after="0" w:line="240" w:lineRule="auto"/>
        <w:rPr>
          <w:rFonts w:ascii="Arial" w:hAnsi="Arial" w:cs="Arial"/>
        </w:rPr>
      </w:pPr>
    </w:p>
    <w:p w14:paraId="504CFBDC" w14:textId="77777777" w:rsidR="001F12B0" w:rsidRPr="001F12B0" w:rsidRDefault="001F12B0" w:rsidP="001F12B0">
      <w:pPr>
        <w:rPr>
          <w:rFonts w:ascii="Arial" w:hAnsi="Arial" w:cs="Arial"/>
        </w:rPr>
      </w:pPr>
    </w:p>
    <w:p w14:paraId="70ABB274" w14:textId="77777777" w:rsidR="001F12B0" w:rsidRPr="001F12B0" w:rsidRDefault="001F12B0" w:rsidP="001F12B0">
      <w:pPr>
        <w:rPr>
          <w:rFonts w:ascii="Arial" w:hAnsi="Arial" w:cs="Arial"/>
        </w:rPr>
      </w:pPr>
    </w:p>
    <w:p w14:paraId="7EF3DD32" w14:textId="77777777" w:rsidR="001F12B0" w:rsidRPr="001F12B0" w:rsidRDefault="001F12B0" w:rsidP="001F12B0">
      <w:pPr>
        <w:rPr>
          <w:rFonts w:ascii="Arial" w:hAnsi="Arial" w:cs="Arial"/>
        </w:rPr>
      </w:pPr>
    </w:p>
    <w:p w14:paraId="1563E42C" w14:textId="77777777" w:rsidR="001F12B0" w:rsidRPr="001F12B0" w:rsidRDefault="001F12B0" w:rsidP="001F12B0">
      <w:pPr>
        <w:rPr>
          <w:rFonts w:ascii="Arial" w:hAnsi="Arial" w:cs="Arial"/>
        </w:rPr>
      </w:pPr>
    </w:p>
    <w:p w14:paraId="78B3991E" w14:textId="77777777" w:rsidR="001F12B0" w:rsidRPr="001F12B0" w:rsidRDefault="001F12B0" w:rsidP="001F12B0">
      <w:pPr>
        <w:rPr>
          <w:rFonts w:ascii="Arial" w:hAnsi="Arial" w:cs="Arial"/>
        </w:rPr>
      </w:pPr>
    </w:p>
    <w:p w14:paraId="0BD3CB7E" w14:textId="77777777" w:rsidR="001F12B0" w:rsidRPr="001F12B0" w:rsidRDefault="001F12B0" w:rsidP="001F12B0">
      <w:pPr>
        <w:rPr>
          <w:rFonts w:ascii="Arial" w:hAnsi="Arial" w:cs="Arial"/>
        </w:rPr>
      </w:pPr>
    </w:p>
    <w:p w14:paraId="3F24E073" w14:textId="77777777" w:rsidR="001F12B0" w:rsidRPr="001F12B0" w:rsidRDefault="001F12B0" w:rsidP="001F12B0">
      <w:pPr>
        <w:rPr>
          <w:rFonts w:ascii="Arial" w:hAnsi="Arial" w:cs="Arial"/>
        </w:rPr>
      </w:pPr>
    </w:p>
    <w:p w14:paraId="5AB7923B" w14:textId="77777777" w:rsidR="001F12B0" w:rsidRPr="001F12B0" w:rsidRDefault="001F12B0" w:rsidP="001F12B0">
      <w:pPr>
        <w:rPr>
          <w:rFonts w:ascii="Arial" w:hAnsi="Arial" w:cs="Arial"/>
        </w:rPr>
      </w:pPr>
    </w:p>
    <w:p w14:paraId="5C017D61" w14:textId="77777777" w:rsidR="001F12B0" w:rsidRPr="001F12B0" w:rsidRDefault="001F12B0" w:rsidP="001F12B0">
      <w:pPr>
        <w:rPr>
          <w:rFonts w:ascii="Arial" w:hAnsi="Arial" w:cs="Arial"/>
        </w:rPr>
      </w:pPr>
    </w:p>
    <w:p w14:paraId="22D1D745" w14:textId="77777777" w:rsidR="001F12B0" w:rsidRPr="001F12B0" w:rsidRDefault="001F12B0" w:rsidP="001F12B0">
      <w:pPr>
        <w:rPr>
          <w:rFonts w:ascii="Arial" w:hAnsi="Arial" w:cs="Arial"/>
        </w:rPr>
      </w:pPr>
    </w:p>
    <w:p w14:paraId="0BD1DC24" w14:textId="77777777" w:rsidR="001F12B0" w:rsidRPr="001F12B0" w:rsidRDefault="001F12B0" w:rsidP="001F12B0">
      <w:pPr>
        <w:rPr>
          <w:rFonts w:ascii="Arial" w:hAnsi="Arial" w:cs="Arial"/>
        </w:rPr>
      </w:pPr>
    </w:p>
    <w:p w14:paraId="7E8D09B1" w14:textId="77777777" w:rsidR="001F12B0" w:rsidRPr="001F12B0" w:rsidRDefault="001F12B0" w:rsidP="001F12B0">
      <w:pPr>
        <w:rPr>
          <w:rFonts w:ascii="Arial" w:hAnsi="Arial" w:cs="Arial"/>
        </w:rPr>
      </w:pPr>
    </w:p>
    <w:p w14:paraId="06936A23" w14:textId="77777777" w:rsidR="001F12B0" w:rsidRDefault="001F12B0" w:rsidP="001F12B0">
      <w:pPr>
        <w:rPr>
          <w:rFonts w:ascii="Arial" w:hAnsi="Arial" w:cs="Arial"/>
        </w:rPr>
      </w:pPr>
    </w:p>
    <w:p w14:paraId="31C153BD" w14:textId="77777777" w:rsidR="001F12B0" w:rsidRPr="001F12B0" w:rsidRDefault="001F12B0" w:rsidP="001F12B0">
      <w:pPr>
        <w:jc w:val="center"/>
        <w:rPr>
          <w:rFonts w:ascii="Arial" w:hAnsi="Arial" w:cs="Arial"/>
        </w:rPr>
      </w:pPr>
    </w:p>
    <w:sectPr w:rsidR="001F12B0" w:rsidRPr="001F12B0" w:rsidSect="00E1415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BEBCA" w14:textId="77777777" w:rsidR="00842E3B" w:rsidRDefault="00842E3B" w:rsidP="00843CEE">
      <w:pPr>
        <w:spacing w:after="0" w:line="240" w:lineRule="auto"/>
      </w:pPr>
      <w:r>
        <w:separator/>
      </w:r>
    </w:p>
  </w:endnote>
  <w:endnote w:type="continuationSeparator" w:id="0">
    <w:p w14:paraId="071B4275" w14:textId="77777777" w:rsidR="00842E3B" w:rsidRDefault="00842E3B" w:rsidP="00843CEE">
      <w:pPr>
        <w:spacing w:after="0" w:line="240" w:lineRule="auto"/>
      </w:pPr>
      <w:r>
        <w:continuationSeparator/>
      </w:r>
    </w:p>
  </w:endnote>
  <w:endnote w:type="continuationNotice" w:id="1">
    <w:p w14:paraId="61EE886D" w14:textId="77777777" w:rsidR="00842E3B" w:rsidRDefault="00842E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72FC" w14:textId="07C8D10A" w:rsidR="007F6E2B" w:rsidRPr="007F6E2B" w:rsidRDefault="0A1056A9" w:rsidP="007F6E2B">
    <w:pPr>
      <w:pStyle w:val="Footer"/>
      <w:tabs>
        <w:tab w:val="center" w:pos="7513"/>
      </w:tabs>
      <w:rPr>
        <w:rFonts w:ascii="Arial" w:hAnsi="Arial" w:cs="Arial"/>
        <w:sz w:val="16"/>
        <w:szCs w:val="16"/>
      </w:rPr>
    </w:pPr>
    <w:r w:rsidRPr="0A1056A9">
      <w:rPr>
        <w:rFonts w:ascii="Arial" w:hAnsi="Arial" w:cs="Arial"/>
        <w:sz w:val="16"/>
        <w:szCs w:val="16"/>
      </w:rPr>
      <w:t>AQSH:  OG (viii)</w:t>
    </w:r>
    <w:r w:rsidR="6E669D41">
      <w:tab/>
    </w:r>
    <w:r w:rsidRPr="0A1056A9">
      <w:rPr>
        <w:rFonts w:ascii="Arial" w:hAnsi="Arial" w:cs="Arial"/>
        <w:sz w:val="16"/>
        <w:szCs w:val="16"/>
      </w:rPr>
      <w:t xml:space="preserve">    </w:t>
    </w:r>
    <w:r w:rsidR="001F12B0">
      <w:rPr>
        <w:rFonts w:ascii="Arial" w:hAnsi="Arial" w:cs="Arial"/>
        <w:sz w:val="16"/>
        <w:szCs w:val="16"/>
      </w:rPr>
      <w:t xml:space="preserve">    </w:t>
    </w:r>
    <w:r w:rsidRPr="0A1056A9">
      <w:rPr>
        <w:rFonts w:ascii="Arial" w:hAnsi="Arial" w:cs="Arial"/>
        <w:sz w:val="16"/>
        <w:szCs w:val="16"/>
      </w:rPr>
      <w:t xml:space="preserve">  </w:t>
    </w:r>
    <w:r w:rsidR="001F12B0">
      <w:rPr>
        <w:rFonts w:ascii="Arial" w:hAnsi="Arial" w:cs="Arial"/>
        <w:sz w:val="16"/>
        <w:szCs w:val="16"/>
      </w:rPr>
      <w:t xml:space="preserve">  </w:t>
    </w:r>
    <w:r w:rsidRPr="0A1056A9">
      <w:rPr>
        <w:rFonts w:ascii="Arial" w:hAnsi="Arial" w:cs="Arial"/>
        <w:sz w:val="16"/>
        <w:szCs w:val="16"/>
      </w:rPr>
      <w:t>202</w:t>
    </w:r>
    <w:r w:rsidR="00012DF6">
      <w:rPr>
        <w:rFonts w:ascii="Arial" w:hAnsi="Arial" w:cs="Arial"/>
        <w:sz w:val="16"/>
        <w:szCs w:val="16"/>
      </w:rPr>
      <w:t>5-26</w:t>
    </w:r>
    <w:r w:rsidR="6E669D41">
      <w:tab/>
    </w:r>
    <w:r w:rsidR="00DC2243">
      <w:t xml:space="preserve">                                                   </w:t>
    </w:r>
    <w:r w:rsidR="001F12B0">
      <w:t xml:space="preserve">                </w:t>
    </w:r>
    <w:r w:rsidRPr="0A1056A9">
      <w:rPr>
        <w:rFonts w:ascii="Arial" w:hAnsi="Arial" w:cs="Arial"/>
        <w:sz w:val="16"/>
        <w:szCs w:val="16"/>
      </w:rPr>
      <w:t xml:space="preserve">Page </w:t>
    </w:r>
    <w:r w:rsidR="6E669D41" w:rsidRPr="0A1056A9">
      <w:rPr>
        <w:rFonts w:ascii="Arial" w:hAnsi="Arial" w:cs="Arial"/>
        <w:b/>
        <w:bCs/>
        <w:sz w:val="16"/>
        <w:szCs w:val="16"/>
      </w:rPr>
      <w:fldChar w:fldCharType="begin"/>
    </w:r>
    <w:r w:rsidR="6E669D41" w:rsidRPr="0A1056A9">
      <w:rPr>
        <w:rFonts w:ascii="Arial" w:hAnsi="Arial" w:cs="Arial"/>
        <w:b/>
        <w:bCs/>
        <w:sz w:val="16"/>
        <w:szCs w:val="16"/>
      </w:rPr>
      <w:instrText xml:space="preserve"> PAGE </w:instrText>
    </w:r>
    <w:r w:rsidR="6E669D41" w:rsidRPr="0A1056A9">
      <w:rPr>
        <w:rFonts w:ascii="Arial" w:hAnsi="Arial" w:cs="Arial"/>
        <w:b/>
        <w:bCs/>
        <w:sz w:val="16"/>
        <w:szCs w:val="16"/>
      </w:rPr>
      <w:fldChar w:fldCharType="separate"/>
    </w:r>
    <w:r w:rsidRPr="0A1056A9">
      <w:rPr>
        <w:rFonts w:ascii="Arial" w:hAnsi="Arial" w:cs="Arial"/>
        <w:b/>
        <w:bCs/>
        <w:sz w:val="16"/>
        <w:szCs w:val="16"/>
      </w:rPr>
      <w:t>1</w:t>
    </w:r>
    <w:r w:rsidR="6E669D41" w:rsidRPr="0A1056A9">
      <w:rPr>
        <w:rFonts w:ascii="Arial" w:hAnsi="Arial" w:cs="Arial"/>
        <w:b/>
        <w:bCs/>
        <w:sz w:val="16"/>
        <w:szCs w:val="16"/>
      </w:rPr>
      <w:fldChar w:fldCharType="end"/>
    </w:r>
    <w:r w:rsidRPr="0A1056A9">
      <w:rPr>
        <w:rFonts w:ascii="Arial" w:hAnsi="Arial" w:cs="Arial"/>
        <w:sz w:val="16"/>
        <w:szCs w:val="16"/>
      </w:rPr>
      <w:t xml:space="preserve"> of </w:t>
    </w:r>
    <w:r w:rsidR="6E669D41" w:rsidRPr="0A1056A9">
      <w:rPr>
        <w:rFonts w:ascii="Arial" w:hAnsi="Arial" w:cs="Arial"/>
        <w:b/>
        <w:bCs/>
        <w:sz w:val="16"/>
        <w:szCs w:val="16"/>
      </w:rPr>
      <w:fldChar w:fldCharType="begin"/>
    </w:r>
    <w:r w:rsidR="6E669D41" w:rsidRPr="0A1056A9">
      <w:rPr>
        <w:rFonts w:ascii="Arial" w:hAnsi="Arial" w:cs="Arial"/>
        <w:b/>
        <w:bCs/>
        <w:sz w:val="16"/>
        <w:szCs w:val="16"/>
      </w:rPr>
      <w:instrText xml:space="preserve"> NUMPAGES  </w:instrText>
    </w:r>
    <w:r w:rsidR="6E669D41" w:rsidRPr="0A1056A9">
      <w:rPr>
        <w:rFonts w:ascii="Arial" w:hAnsi="Arial" w:cs="Arial"/>
        <w:b/>
        <w:bCs/>
        <w:sz w:val="16"/>
        <w:szCs w:val="16"/>
      </w:rPr>
      <w:fldChar w:fldCharType="separate"/>
    </w:r>
    <w:r w:rsidRPr="0A1056A9">
      <w:rPr>
        <w:rFonts w:ascii="Arial" w:hAnsi="Arial" w:cs="Arial"/>
        <w:b/>
        <w:bCs/>
        <w:sz w:val="16"/>
        <w:szCs w:val="16"/>
      </w:rPr>
      <w:t>2</w:t>
    </w:r>
    <w:r w:rsidR="6E669D41" w:rsidRPr="0A1056A9">
      <w:rPr>
        <w:rFonts w:ascii="Arial" w:hAnsi="Arial" w:cs="Arial"/>
        <w:b/>
        <w:bCs/>
        <w:sz w:val="16"/>
        <w:szCs w:val="16"/>
      </w:rPr>
      <w:fldChar w:fldCharType="end"/>
    </w:r>
  </w:p>
  <w:p w14:paraId="5DAFC734" w14:textId="053D790E" w:rsidR="007F6E2B" w:rsidRPr="007F6E2B" w:rsidRDefault="001F12B0">
    <w:pPr>
      <w:pStyle w:val="Footer"/>
      <w:rPr>
        <w:rFonts w:ascii="Arial" w:hAnsi="Arial" w:cs="Arial"/>
        <w:sz w:val="16"/>
        <w:szCs w:val="16"/>
      </w:rPr>
    </w:pPr>
    <w:r>
      <w:rPr>
        <w:rFonts w:ascii="Arial" w:hAnsi="Arial" w:cs="Arial"/>
        <w:sz w:val="16"/>
        <w:szCs w:val="16"/>
      </w:rPr>
      <w:t xml:space="preserve">  </w:t>
    </w:r>
  </w:p>
  <w:p w14:paraId="65086EAA" w14:textId="77777777" w:rsidR="007F6E2B" w:rsidRDefault="007F6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E32CF" w14:textId="77777777" w:rsidR="00842E3B" w:rsidRDefault="00842E3B" w:rsidP="00843CEE">
      <w:pPr>
        <w:spacing w:after="0" w:line="240" w:lineRule="auto"/>
      </w:pPr>
      <w:r>
        <w:separator/>
      </w:r>
    </w:p>
  </w:footnote>
  <w:footnote w:type="continuationSeparator" w:id="0">
    <w:p w14:paraId="2FAE6FEA" w14:textId="77777777" w:rsidR="00842E3B" w:rsidRDefault="00842E3B" w:rsidP="00843CEE">
      <w:pPr>
        <w:spacing w:after="0" w:line="240" w:lineRule="auto"/>
      </w:pPr>
      <w:r>
        <w:continuationSeparator/>
      </w:r>
    </w:p>
  </w:footnote>
  <w:footnote w:type="continuationNotice" w:id="1">
    <w:p w14:paraId="1CF530A6" w14:textId="77777777" w:rsidR="00842E3B" w:rsidRDefault="00842E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47FCB" w14:textId="14EB5159" w:rsidR="008E0252" w:rsidRDefault="008E0252" w:rsidP="000227EB">
    <w:pPr>
      <w:pStyle w:val="Header"/>
      <w:jc w:val="center"/>
    </w:pPr>
  </w:p>
</w:hdr>
</file>

<file path=word/intelligence2.xml><?xml version="1.0" encoding="utf-8"?>
<int2:intelligence xmlns:int2="http://schemas.microsoft.com/office/intelligence/2020/intelligence" xmlns:oel="http://schemas.microsoft.com/office/2019/extlst">
  <int2:observations>
    <int2:textHash int2:hashCode="sJdIlxkKirGxlz" int2:id="oKwAXJOU">
      <int2:state int2:value="Rejected" int2:type="AugLoop_Text_Critique"/>
    </int2:textHash>
    <int2:textHash int2:hashCode="hA8Pk7xbAyRVs9" int2:id="Tibbe7Br">
      <int2:state int2:value="Rejected" int2:type="AugLoop_Text_Critique"/>
    </int2:textHash>
    <int2:bookmark int2:bookmarkName="_Int_bhjUiogN" int2:invalidationBookmarkName="" int2:hashCode="sBcuIKB+I7Avo3" int2:id="lo4XRjjz">
      <int2:state int2:value="Rejected" int2:type="AugLoop_Text_Critique"/>
    </int2:bookmark>
    <int2:bookmark int2:bookmarkName="_Int_r1OJthJ8" int2:invalidationBookmarkName="" int2:hashCode="Vrjmu5V0N83Thp" int2:id="8IUjKmP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B79F2"/>
    <w:multiLevelType w:val="hybridMultilevel"/>
    <w:tmpl w:val="50A8B260"/>
    <w:lvl w:ilvl="0" w:tplc="FFFFFFFF">
      <w:start w:val="1"/>
      <w:numFmt w:val="decimal"/>
      <w:lvlText w:val="%1."/>
      <w:lvlJc w:val="left"/>
      <w:pPr>
        <w:ind w:left="1146" w:hanging="360"/>
      </w:pPr>
      <w:rPr>
        <w:rFonts w:hint="default"/>
      </w:rPr>
    </w:lvl>
    <w:lvl w:ilvl="1" w:tplc="FFFFFFFF">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 w15:restartNumberingAfterBreak="0">
    <w:nsid w:val="51585987"/>
    <w:multiLevelType w:val="hybridMultilevel"/>
    <w:tmpl w:val="210A07B8"/>
    <w:lvl w:ilvl="0" w:tplc="0809000F">
      <w:start w:val="1"/>
      <w:numFmt w:val="decimal"/>
      <w:lvlText w:val="%1."/>
      <w:lvlJc w:val="left"/>
      <w:pPr>
        <w:ind w:left="1146" w:hanging="360"/>
      </w:pPr>
      <w:rPr>
        <w:rFonts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5ECC066D"/>
    <w:multiLevelType w:val="hybridMultilevel"/>
    <w:tmpl w:val="50A8B260"/>
    <w:lvl w:ilvl="0" w:tplc="FFFFFFFF">
      <w:start w:val="1"/>
      <w:numFmt w:val="decimal"/>
      <w:lvlText w:val="%1."/>
      <w:lvlJc w:val="left"/>
      <w:pPr>
        <w:ind w:left="1146" w:hanging="360"/>
      </w:pPr>
      <w:rPr>
        <w:rFonts w:hint="default"/>
      </w:rPr>
    </w:lvl>
    <w:lvl w:ilvl="1" w:tplc="FFFFFFFF">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 w15:restartNumberingAfterBreak="0">
    <w:nsid w:val="7A9C78C5"/>
    <w:multiLevelType w:val="hybridMultilevel"/>
    <w:tmpl w:val="BE74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94286">
    <w:abstractNumId w:val="1"/>
  </w:num>
  <w:num w:numId="2" w16cid:durableId="742029715">
    <w:abstractNumId w:val="2"/>
  </w:num>
  <w:num w:numId="3" w16cid:durableId="2046322394">
    <w:abstractNumId w:val="0"/>
  </w:num>
  <w:num w:numId="4" w16cid:durableId="789318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B6E"/>
    <w:rsid w:val="000053D0"/>
    <w:rsid w:val="00012DF6"/>
    <w:rsid w:val="000227EB"/>
    <w:rsid w:val="00046005"/>
    <w:rsid w:val="00050D7A"/>
    <w:rsid w:val="00053ECD"/>
    <w:rsid w:val="00063BA8"/>
    <w:rsid w:val="00074F52"/>
    <w:rsid w:val="000C3F7A"/>
    <w:rsid w:val="000C70F1"/>
    <w:rsid w:val="000C7DD9"/>
    <w:rsid w:val="00103A01"/>
    <w:rsid w:val="00122E0F"/>
    <w:rsid w:val="00130E0E"/>
    <w:rsid w:val="0014679D"/>
    <w:rsid w:val="0016081E"/>
    <w:rsid w:val="0017785E"/>
    <w:rsid w:val="001B33A9"/>
    <w:rsid w:val="001D0B82"/>
    <w:rsid w:val="001D7463"/>
    <w:rsid w:val="001E3422"/>
    <w:rsid w:val="001E6359"/>
    <w:rsid w:val="001F12B0"/>
    <w:rsid w:val="001F1918"/>
    <w:rsid w:val="001F42B1"/>
    <w:rsid w:val="00201F53"/>
    <w:rsid w:val="00202897"/>
    <w:rsid w:val="00206E4B"/>
    <w:rsid w:val="0023500A"/>
    <w:rsid w:val="002409AB"/>
    <w:rsid w:val="00253F48"/>
    <w:rsid w:val="0026363E"/>
    <w:rsid w:val="00270CDA"/>
    <w:rsid w:val="00272E53"/>
    <w:rsid w:val="002809FD"/>
    <w:rsid w:val="00286098"/>
    <w:rsid w:val="00297F6A"/>
    <w:rsid w:val="002A3F12"/>
    <w:rsid w:val="002A463B"/>
    <w:rsid w:val="002B0816"/>
    <w:rsid w:val="002C6BFE"/>
    <w:rsid w:val="002D0CFB"/>
    <w:rsid w:val="002D5367"/>
    <w:rsid w:val="0032477B"/>
    <w:rsid w:val="00327BC7"/>
    <w:rsid w:val="00332C4F"/>
    <w:rsid w:val="003367F0"/>
    <w:rsid w:val="0034091D"/>
    <w:rsid w:val="00344239"/>
    <w:rsid w:val="00350307"/>
    <w:rsid w:val="003635DD"/>
    <w:rsid w:val="0036584C"/>
    <w:rsid w:val="00366FDD"/>
    <w:rsid w:val="00370534"/>
    <w:rsid w:val="003727F7"/>
    <w:rsid w:val="0037447D"/>
    <w:rsid w:val="00374A6B"/>
    <w:rsid w:val="00383DB9"/>
    <w:rsid w:val="00387624"/>
    <w:rsid w:val="003A13A4"/>
    <w:rsid w:val="003A49C2"/>
    <w:rsid w:val="003A59F7"/>
    <w:rsid w:val="003C02E3"/>
    <w:rsid w:val="003C79BE"/>
    <w:rsid w:val="003E4BB6"/>
    <w:rsid w:val="003E5386"/>
    <w:rsid w:val="004173B5"/>
    <w:rsid w:val="0042702B"/>
    <w:rsid w:val="004477F2"/>
    <w:rsid w:val="00456443"/>
    <w:rsid w:val="00490E12"/>
    <w:rsid w:val="00494B70"/>
    <w:rsid w:val="004A1E2D"/>
    <w:rsid w:val="004D6EAC"/>
    <w:rsid w:val="004E6DEB"/>
    <w:rsid w:val="004F0F4B"/>
    <w:rsid w:val="004F5C6B"/>
    <w:rsid w:val="004F66DA"/>
    <w:rsid w:val="00523B9D"/>
    <w:rsid w:val="00542497"/>
    <w:rsid w:val="00544C1A"/>
    <w:rsid w:val="00551B6E"/>
    <w:rsid w:val="00565895"/>
    <w:rsid w:val="0057290C"/>
    <w:rsid w:val="005903D8"/>
    <w:rsid w:val="005926BB"/>
    <w:rsid w:val="005A0836"/>
    <w:rsid w:val="005B1063"/>
    <w:rsid w:val="005B23EF"/>
    <w:rsid w:val="005F2462"/>
    <w:rsid w:val="005F4407"/>
    <w:rsid w:val="005F6121"/>
    <w:rsid w:val="00602C31"/>
    <w:rsid w:val="006159A2"/>
    <w:rsid w:val="006371D3"/>
    <w:rsid w:val="00642596"/>
    <w:rsid w:val="006444F6"/>
    <w:rsid w:val="006448A5"/>
    <w:rsid w:val="00661A67"/>
    <w:rsid w:val="00674C7E"/>
    <w:rsid w:val="00680259"/>
    <w:rsid w:val="006D2338"/>
    <w:rsid w:val="006D7B56"/>
    <w:rsid w:val="006E4BE8"/>
    <w:rsid w:val="006E4F09"/>
    <w:rsid w:val="00706A8D"/>
    <w:rsid w:val="007171AD"/>
    <w:rsid w:val="007256B0"/>
    <w:rsid w:val="007329E7"/>
    <w:rsid w:val="00740B7D"/>
    <w:rsid w:val="0074223D"/>
    <w:rsid w:val="00746335"/>
    <w:rsid w:val="007611FF"/>
    <w:rsid w:val="007613EE"/>
    <w:rsid w:val="007636E9"/>
    <w:rsid w:val="00764ADB"/>
    <w:rsid w:val="00765DF1"/>
    <w:rsid w:val="00772616"/>
    <w:rsid w:val="00781BAD"/>
    <w:rsid w:val="007A0B38"/>
    <w:rsid w:val="007A14AE"/>
    <w:rsid w:val="007B72E4"/>
    <w:rsid w:val="007E1DC6"/>
    <w:rsid w:val="007F027C"/>
    <w:rsid w:val="007F252E"/>
    <w:rsid w:val="007F6E2B"/>
    <w:rsid w:val="0080389C"/>
    <w:rsid w:val="00825B95"/>
    <w:rsid w:val="00830A11"/>
    <w:rsid w:val="00842E0C"/>
    <w:rsid w:val="00842E3B"/>
    <w:rsid w:val="00843CEE"/>
    <w:rsid w:val="0084569C"/>
    <w:rsid w:val="008503E2"/>
    <w:rsid w:val="00863828"/>
    <w:rsid w:val="00863989"/>
    <w:rsid w:val="00872D41"/>
    <w:rsid w:val="0087433D"/>
    <w:rsid w:val="00886066"/>
    <w:rsid w:val="00890DA7"/>
    <w:rsid w:val="00895396"/>
    <w:rsid w:val="008B0B56"/>
    <w:rsid w:val="008E0252"/>
    <w:rsid w:val="008E6E86"/>
    <w:rsid w:val="008F53EE"/>
    <w:rsid w:val="008F6A40"/>
    <w:rsid w:val="00917C99"/>
    <w:rsid w:val="009212AF"/>
    <w:rsid w:val="0092199A"/>
    <w:rsid w:val="00922E1F"/>
    <w:rsid w:val="0093044D"/>
    <w:rsid w:val="00947FB6"/>
    <w:rsid w:val="00953BE3"/>
    <w:rsid w:val="0096579A"/>
    <w:rsid w:val="0096645C"/>
    <w:rsid w:val="009717E7"/>
    <w:rsid w:val="00976F46"/>
    <w:rsid w:val="009867A8"/>
    <w:rsid w:val="009A542C"/>
    <w:rsid w:val="009B77EB"/>
    <w:rsid w:val="009C0A3C"/>
    <w:rsid w:val="009C157A"/>
    <w:rsid w:val="009D171C"/>
    <w:rsid w:val="009D5E38"/>
    <w:rsid w:val="009F6ED0"/>
    <w:rsid w:val="00A10463"/>
    <w:rsid w:val="00A10EAF"/>
    <w:rsid w:val="00A2140F"/>
    <w:rsid w:val="00A4354E"/>
    <w:rsid w:val="00A65263"/>
    <w:rsid w:val="00AA3CE6"/>
    <w:rsid w:val="00AA4EA3"/>
    <w:rsid w:val="00AA7D54"/>
    <w:rsid w:val="00AC3475"/>
    <w:rsid w:val="00AD1626"/>
    <w:rsid w:val="00AE028E"/>
    <w:rsid w:val="00AE13C5"/>
    <w:rsid w:val="00AE6689"/>
    <w:rsid w:val="00AE7485"/>
    <w:rsid w:val="00B004F1"/>
    <w:rsid w:val="00B015FC"/>
    <w:rsid w:val="00B34C80"/>
    <w:rsid w:val="00B369E0"/>
    <w:rsid w:val="00B51A0F"/>
    <w:rsid w:val="00B5601B"/>
    <w:rsid w:val="00B73D1A"/>
    <w:rsid w:val="00B73E76"/>
    <w:rsid w:val="00B83A0F"/>
    <w:rsid w:val="00B86DDB"/>
    <w:rsid w:val="00BA1544"/>
    <w:rsid w:val="00BA6455"/>
    <w:rsid w:val="00BC0064"/>
    <w:rsid w:val="00BC6EC8"/>
    <w:rsid w:val="00BE2393"/>
    <w:rsid w:val="00BF030A"/>
    <w:rsid w:val="00BF14C1"/>
    <w:rsid w:val="00BF4377"/>
    <w:rsid w:val="00BF7132"/>
    <w:rsid w:val="00C051AF"/>
    <w:rsid w:val="00C2298D"/>
    <w:rsid w:val="00C35CF4"/>
    <w:rsid w:val="00C4163A"/>
    <w:rsid w:val="00C50A51"/>
    <w:rsid w:val="00C6149D"/>
    <w:rsid w:val="00C85557"/>
    <w:rsid w:val="00C974DE"/>
    <w:rsid w:val="00CD06EA"/>
    <w:rsid w:val="00D057A9"/>
    <w:rsid w:val="00D05F3A"/>
    <w:rsid w:val="00D07A30"/>
    <w:rsid w:val="00D34E89"/>
    <w:rsid w:val="00D426FA"/>
    <w:rsid w:val="00D84A90"/>
    <w:rsid w:val="00D93624"/>
    <w:rsid w:val="00DC1535"/>
    <w:rsid w:val="00DC2243"/>
    <w:rsid w:val="00DE2E18"/>
    <w:rsid w:val="00DE6EC3"/>
    <w:rsid w:val="00E00745"/>
    <w:rsid w:val="00E11F10"/>
    <w:rsid w:val="00E14152"/>
    <w:rsid w:val="00E4749D"/>
    <w:rsid w:val="00E50886"/>
    <w:rsid w:val="00E54EB2"/>
    <w:rsid w:val="00E60F29"/>
    <w:rsid w:val="00E70628"/>
    <w:rsid w:val="00EB341F"/>
    <w:rsid w:val="00EC630F"/>
    <w:rsid w:val="00EC71EB"/>
    <w:rsid w:val="00ED1075"/>
    <w:rsid w:val="00ED5AE6"/>
    <w:rsid w:val="00EE1A6B"/>
    <w:rsid w:val="00EE2993"/>
    <w:rsid w:val="00EF1E3E"/>
    <w:rsid w:val="00EF5DD5"/>
    <w:rsid w:val="00F00217"/>
    <w:rsid w:val="00F325DE"/>
    <w:rsid w:val="00F437CA"/>
    <w:rsid w:val="00F54A43"/>
    <w:rsid w:val="00F62B24"/>
    <w:rsid w:val="00F66972"/>
    <w:rsid w:val="00F711E0"/>
    <w:rsid w:val="00FA6C39"/>
    <w:rsid w:val="00FE7A11"/>
    <w:rsid w:val="00FF62E2"/>
    <w:rsid w:val="097A057F"/>
    <w:rsid w:val="0A1056A9"/>
    <w:rsid w:val="0E8B4495"/>
    <w:rsid w:val="10B9E906"/>
    <w:rsid w:val="1344C0B4"/>
    <w:rsid w:val="14367D1D"/>
    <w:rsid w:val="1D0E4D63"/>
    <w:rsid w:val="1E5666C5"/>
    <w:rsid w:val="36E464A7"/>
    <w:rsid w:val="3EE299E3"/>
    <w:rsid w:val="41092451"/>
    <w:rsid w:val="4CDD60B1"/>
    <w:rsid w:val="50FCCF7C"/>
    <w:rsid w:val="59E6C836"/>
    <w:rsid w:val="60C0DABE"/>
    <w:rsid w:val="63AD14EB"/>
    <w:rsid w:val="6CCA0BEE"/>
    <w:rsid w:val="6E669D41"/>
    <w:rsid w:val="7967AA02"/>
    <w:rsid w:val="79686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FA90B"/>
  <w15:chartTrackingRefBased/>
  <w15:docId w15:val="{72DF605B-DE97-43E0-90D4-9BFF4BEE0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132"/>
  </w:style>
  <w:style w:type="paragraph" w:styleId="Heading3">
    <w:name w:val="heading 3"/>
    <w:basedOn w:val="Normal"/>
    <w:link w:val="Heading3Char"/>
    <w:uiPriority w:val="9"/>
    <w:qFormat/>
    <w:rsid w:val="008F6A4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1BA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11F10"/>
    <w:pPr>
      <w:ind w:left="720"/>
      <w:contextualSpacing/>
    </w:pPr>
  </w:style>
  <w:style w:type="paragraph" w:styleId="Header">
    <w:name w:val="header"/>
    <w:basedOn w:val="Normal"/>
    <w:link w:val="HeaderChar"/>
    <w:uiPriority w:val="99"/>
    <w:unhideWhenUsed/>
    <w:rsid w:val="00843C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CEE"/>
  </w:style>
  <w:style w:type="paragraph" w:styleId="Footer">
    <w:name w:val="footer"/>
    <w:basedOn w:val="Normal"/>
    <w:link w:val="FooterChar"/>
    <w:uiPriority w:val="99"/>
    <w:unhideWhenUsed/>
    <w:rsid w:val="00843C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CEE"/>
  </w:style>
  <w:style w:type="paragraph" w:styleId="NormalWeb">
    <w:name w:val="Normal (Web)"/>
    <w:basedOn w:val="Normal"/>
    <w:uiPriority w:val="99"/>
    <w:unhideWhenUsed/>
    <w:rsid w:val="003635DD"/>
    <w:pPr>
      <w:spacing w:after="0"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004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4F1"/>
    <w:rPr>
      <w:rFonts w:ascii="Segoe UI" w:hAnsi="Segoe UI" w:cs="Segoe UI"/>
      <w:sz w:val="18"/>
      <w:szCs w:val="18"/>
    </w:rPr>
  </w:style>
  <w:style w:type="character" w:styleId="CommentReference">
    <w:name w:val="annotation reference"/>
    <w:basedOn w:val="DefaultParagraphFont"/>
    <w:uiPriority w:val="99"/>
    <w:semiHidden/>
    <w:unhideWhenUsed/>
    <w:rsid w:val="00B004F1"/>
    <w:rPr>
      <w:sz w:val="16"/>
      <w:szCs w:val="16"/>
    </w:rPr>
  </w:style>
  <w:style w:type="paragraph" w:styleId="CommentText">
    <w:name w:val="annotation text"/>
    <w:basedOn w:val="Normal"/>
    <w:link w:val="CommentTextChar"/>
    <w:uiPriority w:val="99"/>
    <w:semiHidden/>
    <w:unhideWhenUsed/>
    <w:rsid w:val="00B004F1"/>
    <w:pPr>
      <w:spacing w:line="240" w:lineRule="auto"/>
    </w:pPr>
    <w:rPr>
      <w:sz w:val="20"/>
      <w:szCs w:val="20"/>
    </w:rPr>
  </w:style>
  <w:style w:type="character" w:customStyle="1" w:styleId="CommentTextChar">
    <w:name w:val="Comment Text Char"/>
    <w:basedOn w:val="DefaultParagraphFont"/>
    <w:link w:val="CommentText"/>
    <w:uiPriority w:val="99"/>
    <w:semiHidden/>
    <w:rsid w:val="00B004F1"/>
    <w:rPr>
      <w:sz w:val="20"/>
      <w:szCs w:val="20"/>
    </w:rPr>
  </w:style>
  <w:style w:type="paragraph" w:styleId="CommentSubject">
    <w:name w:val="annotation subject"/>
    <w:basedOn w:val="CommentText"/>
    <w:next w:val="CommentText"/>
    <w:link w:val="CommentSubjectChar"/>
    <w:uiPriority w:val="99"/>
    <w:semiHidden/>
    <w:unhideWhenUsed/>
    <w:rsid w:val="00B004F1"/>
    <w:rPr>
      <w:b/>
      <w:bCs/>
    </w:rPr>
  </w:style>
  <w:style w:type="character" w:customStyle="1" w:styleId="CommentSubjectChar">
    <w:name w:val="Comment Subject Char"/>
    <w:basedOn w:val="CommentTextChar"/>
    <w:link w:val="CommentSubject"/>
    <w:uiPriority w:val="99"/>
    <w:semiHidden/>
    <w:rsid w:val="00B004F1"/>
    <w:rPr>
      <w:b/>
      <w:bCs/>
      <w:sz w:val="20"/>
      <w:szCs w:val="20"/>
    </w:rPr>
  </w:style>
  <w:style w:type="character" w:customStyle="1" w:styleId="Heading3Char">
    <w:name w:val="Heading 3 Char"/>
    <w:basedOn w:val="DefaultParagraphFont"/>
    <w:link w:val="Heading3"/>
    <w:uiPriority w:val="9"/>
    <w:rsid w:val="008F6A40"/>
    <w:rPr>
      <w:rFonts w:ascii="Times New Roman" w:eastAsia="Times New Roman" w:hAnsi="Times New Roman" w:cs="Times New Roman"/>
      <w:b/>
      <w:bCs/>
      <w:sz w:val="27"/>
      <w:szCs w:val="27"/>
      <w:lang w:eastAsia="en-GB"/>
    </w:rPr>
  </w:style>
  <w:style w:type="paragraph" w:styleId="Revision">
    <w:name w:val="Revision"/>
    <w:hidden/>
    <w:uiPriority w:val="99"/>
    <w:semiHidden/>
    <w:rsid w:val="006D2338"/>
    <w:pPr>
      <w:spacing w:after="0" w:line="240" w:lineRule="auto"/>
    </w:pPr>
  </w:style>
  <w:style w:type="table" w:styleId="TableGridLight">
    <w:name w:val="Grid Table Light"/>
    <w:basedOn w:val="TableNormal"/>
    <w:uiPriority w:val="40"/>
    <w:rsid w:val="00A435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75165">
      <w:bodyDiv w:val="1"/>
      <w:marLeft w:val="0"/>
      <w:marRight w:val="0"/>
      <w:marTop w:val="0"/>
      <w:marBottom w:val="0"/>
      <w:divBdr>
        <w:top w:val="none" w:sz="0" w:space="0" w:color="auto"/>
        <w:left w:val="none" w:sz="0" w:space="0" w:color="auto"/>
        <w:bottom w:val="none" w:sz="0" w:space="0" w:color="auto"/>
        <w:right w:val="none" w:sz="0" w:space="0" w:color="auto"/>
      </w:divBdr>
    </w:div>
    <w:div w:id="789277933">
      <w:bodyDiv w:val="1"/>
      <w:marLeft w:val="0"/>
      <w:marRight w:val="0"/>
      <w:marTop w:val="0"/>
      <w:marBottom w:val="0"/>
      <w:divBdr>
        <w:top w:val="none" w:sz="0" w:space="0" w:color="auto"/>
        <w:left w:val="none" w:sz="0" w:space="0" w:color="auto"/>
        <w:bottom w:val="none" w:sz="0" w:space="0" w:color="auto"/>
        <w:right w:val="none" w:sz="0" w:space="0" w:color="auto"/>
      </w:divBdr>
    </w:div>
    <w:div w:id="1288318244">
      <w:bodyDiv w:val="1"/>
      <w:marLeft w:val="0"/>
      <w:marRight w:val="0"/>
      <w:marTop w:val="0"/>
      <w:marBottom w:val="0"/>
      <w:divBdr>
        <w:top w:val="none" w:sz="0" w:space="0" w:color="auto"/>
        <w:left w:val="none" w:sz="0" w:space="0" w:color="auto"/>
        <w:bottom w:val="none" w:sz="0" w:space="0" w:color="auto"/>
        <w:right w:val="none" w:sz="0" w:space="0" w:color="auto"/>
      </w:divBdr>
    </w:div>
    <w:div w:id="192888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c957ed1e636e9105d2fde9292eab5424">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a5133f10d4086589128d40e4aeedc318"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6E95F3-362C-49E9-B901-8B4EA542C833}">
  <ds:schemaRefs>
    <ds:schemaRef ds:uri="http://schemas.microsoft.com/sharepoint/v3/contenttype/forms"/>
  </ds:schemaRefs>
</ds:datastoreItem>
</file>

<file path=customXml/itemProps2.xml><?xml version="1.0" encoding="utf-8"?>
<ds:datastoreItem xmlns:ds="http://schemas.openxmlformats.org/officeDocument/2006/customXml" ds:itemID="{EAC5CECC-E7BD-4E4E-8C11-B419F915C216}">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391430A3-F01A-47D0-B04A-145E16157C52}">
  <ds:schemaRefs>
    <ds:schemaRef ds:uri="http://schemas.openxmlformats.org/officeDocument/2006/bibliography"/>
  </ds:schemaRefs>
</ds:datastoreItem>
</file>

<file path=customXml/itemProps4.xml><?xml version="1.0" encoding="utf-8"?>
<ds:datastoreItem xmlns:ds="http://schemas.openxmlformats.org/officeDocument/2006/customXml" ds:itemID="{61EC83EB-A706-4115-9D0B-808497923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4729</Characters>
  <Application>Microsoft Office Word</Application>
  <DocSecurity>0</DocSecurity>
  <Lines>144</Lines>
  <Paragraphs>74</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Parry, Juliet W</dc:creator>
  <cp:keywords/>
  <dc:description/>
  <cp:lastModifiedBy>Bradbury, Becky</cp:lastModifiedBy>
  <cp:revision>2</cp:revision>
  <dcterms:created xsi:type="dcterms:W3CDTF">2026-02-03T13:59:00Z</dcterms:created>
  <dcterms:modified xsi:type="dcterms:W3CDTF">2026-02-03T13:59:00Z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51598-29da-492a-8b9f-8358cd43dd03_Enabled">
    <vt:lpwstr>True</vt:lpwstr>
  </property>
  <property fmtid="{D5CDD505-2E9C-101B-9397-08002B2CF9AE}" pid="3" name="MSIP_Label_3b551598-29da-492a-8b9f-8358cd43dd03_SiteId">
    <vt:lpwstr>c9ef029c-18cf-4016-86d3-93cf8e94ff94</vt:lpwstr>
  </property>
  <property fmtid="{D5CDD505-2E9C-101B-9397-08002B2CF9AE}" pid="4" name="MSIP_Label_3b551598-29da-492a-8b9f-8358cd43dd03_Owner">
    <vt:lpwstr>KU68734@kingston.ac.uk</vt:lpwstr>
  </property>
  <property fmtid="{D5CDD505-2E9C-101B-9397-08002B2CF9AE}" pid="5" name="MSIP_Label_3b551598-29da-492a-8b9f-8358cd43dd03_SetDate">
    <vt:lpwstr>2020-08-05T15:22:03.0470072Z</vt:lpwstr>
  </property>
  <property fmtid="{D5CDD505-2E9C-101B-9397-08002B2CF9AE}" pid="6" name="MSIP_Label_3b551598-29da-492a-8b9f-8358cd43dd03_Name">
    <vt:lpwstr>General</vt:lpwstr>
  </property>
  <property fmtid="{D5CDD505-2E9C-101B-9397-08002B2CF9AE}" pid="7" name="MSIP_Label_3b551598-29da-492a-8b9f-8358cd43dd03_Application">
    <vt:lpwstr>Microsoft Azure Information Protection</vt:lpwstr>
  </property>
  <property fmtid="{D5CDD505-2E9C-101B-9397-08002B2CF9AE}" pid="8" name="MSIP_Label_3b551598-29da-492a-8b9f-8358cd43dd03_ActionId">
    <vt:lpwstr>38d92097-c960-4418-844f-550ed6073dfc</vt:lpwstr>
  </property>
  <property fmtid="{D5CDD505-2E9C-101B-9397-08002B2CF9AE}" pid="9" name="MSIP_Label_3b551598-29da-492a-8b9f-8358cd43dd03_Extended_MSFT_Method">
    <vt:lpwstr>Automatic</vt:lpwstr>
  </property>
  <property fmtid="{D5CDD505-2E9C-101B-9397-08002B2CF9AE}" pid="10" name="Sensitivity">
    <vt:lpwstr>General</vt:lpwstr>
  </property>
  <property fmtid="{D5CDD505-2E9C-101B-9397-08002B2CF9AE}" pid="11" name="ContentTypeId">
    <vt:lpwstr>0x010100AF47C6D639642C4882A310EAFDB93A7F</vt:lpwstr>
  </property>
  <property fmtid="{D5CDD505-2E9C-101B-9397-08002B2CF9AE}" pid="12" name="TaxKeyword">
    <vt:lpwstr/>
  </property>
</Properties>
</file>