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F4EC" w14:textId="5AD96C99" w:rsidR="00EE7C00" w:rsidRPr="00EE7C00" w:rsidRDefault="00EE7C00" w:rsidP="17EA3EDA">
      <w:pPr>
        <w:contextualSpacing/>
        <w:rPr>
          <w:rFonts w:eastAsia="Arial" w:cs="Arial"/>
          <w:color w:val="000000" w:themeColor="text1"/>
        </w:rPr>
      </w:pPr>
    </w:p>
    <w:p w14:paraId="12342D45" w14:textId="0949AAB0" w:rsidR="00EE7C00" w:rsidRPr="00EE7C00" w:rsidRDefault="5F162662" w:rsidP="17EA3EDA">
      <w:pPr>
        <w:contextualSpacing/>
        <w:rPr>
          <w:rFonts w:eastAsia="Arial" w:cs="Arial"/>
          <w:color w:val="000000" w:themeColor="text1"/>
          <w:sz w:val="24"/>
          <w:szCs w:val="24"/>
        </w:rPr>
      </w:pPr>
      <w:r w:rsidRPr="17EA3EDA">
        <w:rPr>
          <w:rFonts w:eastAsia="Arial" w:cs="Arial"/>
          <w:b/>
          <w:bCs/>
          <w:color w:val="000000" w:themeColor="text1"/>
          <w:sz w:val="24"/>
          <w:szCs w:val="24"/>
        </w:rPr>
        <w:t>Learning, Teaching and Assessment Group (LTAG)</w:t>
      </w:r>
    </w:p>
    <w:p w14:paraId="16603F89" w14:textId="7EC9A506" w:rsidR="00EE7C00" w:rsidRPr="00EE7C00" w:rsidRDefault="00EE7C00" w:rsidP="17EA3EDA">
      <w:pPr>
        <w:contextualSpacing/>
        <w:rPr>
          <w:rFonts w:ascii="Calibri" w:hAnsi="Calibri" w:cs="Calibri"/>
          <w:color w:val="000000" w:themeColor="text1"/>
        </w:rPr>
      </w:pPr>
    </w:p>
    <w:p w14:paraId="078ED987" w14:textId="1C8C1D63" w:rsidR="00EE7C00" w:rsidRPr="00EE7C00" w:rsidRDefault="00EE7C00" w:rsidP="17EA3EDA">
      <w:pPr>
        <w:contextualSpacing/>
        <w:rPr>
          <w:rFonts w:eastAsia="Arial" w:cs="Arial"/>
          <w:color w:val="000000" w:themeColor="text1"/>
          <w:sz w:val="24"/>
          <w:szCs w:val="24"/>
        </w:rPr>
      </w:pPr>
    </w:p>
    <w:p w14:paraId="07BF8799" w14:textId="66F1DA3B" w:rsidR="00EE7C00" w:rsidRPr="00EE7C00" w:rsidRDefault="5F162662" w:rsidP="17EA3EDA">
      <w:pPr>
        <w:contextualSpacing/>
        <w:rPr>
          <w:rFonts w:eastAsia="Arial" w:cs="Arial"/>
          <w:color w:val="000000" w:themeColor="text1"/>
          <w:sz w:val="24"/>
          <w:szCs w:val="24"/>
        </w:rPr>
      </w:pPr>
      <w:r w:rsidRPr="17EA3EDA">
        <w:rPr>
          <w:rFonts w:eastAsia="Arial" w:cs="Arial"/>
          <w:b/>
          <w:bCs/>
          <w:color w:val="000000" w:themeColor="text1"/>
          <w:sz w:val="24"/>
          <w:szCs w:val="24"/>
        </w:rPr>
        <w:t>Type:</w:t>
      </w:r>
      <w:r w:rsidR="00EE7C00">
        <w:tab/>
      </w:r>
      <w:r w:rsidR="00EE7C00">
        <w:tab/>
      </w:r>
      <w:r w:rsidR="00EE7C00">
        <w:tab/>
      </w:r>
      <w:r w:rsidRPr="17EA3EDA">
        <w:rPr>
          <w:rFonts w:eastAsia="Arial" w:cs="Arial"/>
          <w:color w:val="000000" w:themeColor="text1"/>
          <w:sz w:val="24"/>
          <w:szCs w:val="24"/>
        </w:rPr>
        <w:t>Advisory Group</w:t>
      </w:r>
    </w:p>
    <w:p w14:paraId="58E6C22F" w14:textId="449BE163" w:rsidR="00EE7C00" w:rsidRPr="00EE7C00" w:rsidRDefault="00EE7C00" w:rsidP="17EA3EDA">
      <w:pPr>
        <w:contextualSpacing/>
        <w:rPr>
          <w:rFonts w:eastAsia="Arial" w:cs="Arial"/>
          <w:color w:val="000000" w:themeColor="text1"/>
          <w:sz w:val="24"/>
          <w:szCs w:val="24"/>
        </w:rPr>
      </w:pPr>
    </w:p>
    <w:p w14:paraId="1F124C03" w14:textId="4A0EDD1D" w:rsidR="00EE7C00" w:rsidRPr="00EE7C00" w:rsidRDefault="5F162662" w:rsidP="17EA3EDA">
      <w:pPr>
        <w:ind w:left="2160" w:hanging="2160"/>
        <w:contextualSpacing/>
        <w:rPr>
          <w:rFonts w:eastAsia="Arial" w:cs="Arial"/>
          <w:color w:val="000000" w:themeColor="text1"/>
          <w:sz w:val="24"/>
          <w:szCs w:val="24"/>
        </w:rPr>
      </w:pPr>
      <w:r w:rsidRPr="17EA3EDA">
        <w:rPr>
          <w:rFonts w:eastAsia="Arial" w:cs="Arial"/>
          <w:b/>
          <w:bCs/>
          <w:color w:val="000000" w:themeColor="text1"/>
          <w:sz w:val="24"/>
          <w:szCs w:val="24"/>
        </w:rPr>
        <w:t>Nature:</w:t>
      </w:r>
      <w:r w:rsidR="00EE7C00">
        <w:tab/>
      </w:r>
      <w:r w:rsidRPr="17EA3EDA">
        <w:rPr>
          <w:rFonts w:eastAsia="Arial" w:cs="Arial"/>
          <w:color w:val="000000" w:themeColor="text1"/>
          <w:sz w:val="24"/>
          <w:szCs w:val="24"/>
        </w:rPr>
        <w:t>The Learning, Teaching, and Assessment Group (LTAG) is an advisory sub-committee of the University Education Committee and Regulatory Framework Committee. Its primary purpose is to provide expert advice on, and scrutiny of policies and proposals to the Education Committee (EC) / Regulatory Framework Committee (RFC) and support the implementation of developments in education strategy, policy, and practice in order to enhance the quality of the University's learning, teaching, and assessment activities.</w:t>
      </w:r>
    </w:p>
    <w:p w14:paraId="25A32679" w14:textId="448AB186" w:rsidR="00EE7C00" w:rsidRPr="00EE7C00" w:rsidRDefault="00EE7C00" w:rsidP="17EA3EDA">
      <w:pPr>
        <w:ind w:left="2160" w:hanging="2160"/>
        <w:contextualSpacing/>
        <w:rPr>
          <w:rFonts w:eastAsia="Arial" w:cs="Arial"/>
          <w:color w:val="000000" w:themeColor="text1"/>
          <w:sz w:val="24"/>
          <w:szCs w:val="24"/>
        </w:rPr>
      </w:pPr>
    </w:p>
    <w:p w14:paraId="2B61C14D" w14:textId="52E656D2" w:rsidR="00EE7C00" w:rsidRPr="00EE7C00" w:rsidRDefault="5F162662" w:rsidP="17EA3EDA">
      <w:pPr>
        <w:contextualSpacing/>
        <w:rPr>
          <w:rFonts w:eastAsia="Arial" w:cs="Arial"/>
          <w:color w:val="000000" w:themeColor="text1"/>
          <w:sz w:val="24"/>
          <w:szCs w:val="24"/>
        </w:rPr>
      </w:pPr>
      <w:r w:rsidRPr="17EA3EDA">
        <w:rPr>
          <w:rFonts w:eastAsia="Arial" w:cs="Arial"/>
          <w:b/>
          <w:bCs/>
          <w:color w:val="000000" w:themeColor="text1"/>
          <w:sz w:val="24"/>
          <w:szCs w:val="24"/>
        </w:rPr>
        <w:t xml:space="preserve">Reporting Line: </w:t>
      </w:r>
      <w:r w:rsidR="00EE7C00">
        <w:tab/>
      </w:r>
      <w:r w:rsidRPr="17EA3EDA">
        <w:rPr>
          <w:rFonts w:eastAsia="Arial" w:cs="Arial"/>
          <w:color w:val="000000" w:themeColor="text1"/>
          <w:sz w:val="24"/>
          <w:szCs w:val="24"/>
        </w:rPr>
        <w:t>Education Committee/ Regulatory Framework Committee</w:t>
      </w:r>
    </w:p>
    <w:p w14:paraId="5ED6A1EA" w14:textId="0AC2504B" w:rsidR="00EE7C00" w:rsidRPr="00EE7C00" w:rsidRDefault="00EE7C00" w:rsidP="17EA3EDA">
      <w:pPr>
        <w:contextualSpacing/>
        <w:rPr>
          <w:rFonts w:eastAsia="Arial" w:cs="Arial"/>
          <w:color w:val="000000" w:themeColor="text1"/>
          <w:sz w:val="24"/>
          <w:szCs w:val="24"/>
        </w:rPr>
      </w:pPr>
    </w:p>
    <w:p w14:paraId="603F5D47" w14:textId="2057FEBA" w:rsidR="00EE7C00" w:rsidRPr="00EE7C00" w:rsidRDefault="5F162662" w:rsidP="17EA3EDA">
      <w:pPr>
        <w:contextualSpacing/>
        <w:rPr>
          <w:rFonts w:eastAsia="Arial" w:cs="Arial"/>
          <w:color w:val="000000" w:themeColor="text1"/>
          <w:sz w:val="24"/>
          <w:szCs w:val="24"/>
        </w:rPr>
      </w:pPr>
      <w:r w:rsidRPr="17EA3EDA">
        <w:rPr>
          <w:rFonts w:eastAsia="Arial" w:cs="Arial"/>
          <w:b/>
          <w:bCs/>
          <w:color w:val="000000" w:themeColor="text1"/>
          <w:sz w:val="24"/>
          <w:szCs w:val="24"/>
        </w:rPr>
        <w:t>Timing:</w:t>
      </w:r>
      <w:r w:rsidR="00EE7C00">
        <w:tab/>
      </w:r>
      <w:r w:rsidR="00EE7C00">
        <w:tab/>
      </w:r>
      <w:r w:rsidRPr="17EA3EDA">
        <w:rPr>
          <w:rFonts w:eastAsia="Arial" w:cs="Arial"/>
          <w:color w:val="000000" w:themeColor="text1"/>
          <w:sz w:val="24"/>
          <w:szCs w:val="24"/>
        </w:rPr>
        <w:t>Meets 6 times per year</w:t>
      </w:r>
    </w:p>
    <w:p w14:paraId="666939BA" w14:textId="7C76007D" w:rsidR="00EE7C00" w:rsidRPr="00EE7C00" w:rsidRDefault="00EE7C00" w:rsidP="17EA3EDA">
      <w:pPr>
        <w:spacing w:after="160"/>
        <w:contextualSpacing/>
        <w:rPr>
          <w:rFonts w:eastAsia="Arial" w:cs="Arial"/>
          <w:color w:val="000000" w:themeColor="text1"/>
          <w:sz w:val="24"/>
          <w:szCs w:val="24"/>
        </w:rPr>
      </w:pPr>
    </w:p>
    <w:p w14:paraId="5C01FA7D" w14:textId="19FB19CA" w:rsidR="00EE7C00" w:rsidRPr="00EE7C00" w:rsidRDefault="5F162662" w:rsidP="17EA3EDA">
      <w:pPr>
        <w:pStyle w:val="Heading1"/>
        <w:contextualSpacing/>
        <w:rPr>
          <w:rFonts w:ascii="Arial" w:eastAsia="Arial" w:hAnsi="Arial" w:cs="Arial"/>
          <w:color w:val="000000" w:themeColor="text1"/>
          <w:sz w:val="24"/>
          <w:szCs w:val="24"/>
        </w:rPr>
      </w:pPr>
      <w:r w:rsidRPr="17EA3EDA">
        <w:rPr>
          <w:rFonts w:ascii="Arial" w:eastAsia="Arial" w:hAnsi="Arial" w:cs="Arial"/>
          <w:b/>
          <w:bCs/>
          <w:color w:val="000000" w:themeColor="text1"/>
          <w:sz w:val="24"/>
          <w:szCs w:val="24"/>
        </w:rPr>
        <w:t>Terms of Reference</w:t>
      </w:r>
    </w:p>
    <w:p w14:paraId="25DE3CEC" w14:textId="4C7DB0D2" w:rsidR="00EE7C00" w:rsidRPr="00EE7C00" w:rsidRDefault="5F162662" w:rsidP="17EA3EDA">
      <w:pPr>
        <w:spacing w:beforeAutospacing="1" w:afterAutospacing="1"/>
        <w:contextualSpacing/>
        <w:rPr>
          <w:rFonts w:eastAsia="Arial" w:cs="Arial"/>
          <w:color w:val="000000" w:themeColor="text1"/>
          <w:sz w:val="24"/>
          <w:szCs w:val="24"/>
        </w:rPr>
      </w:pPr>
      <w:r w:rsidRPr="17EA3EDA">
        <w:rPr>
          <w:rFonts w:eastAsia="Arial" w:cs="Arial"/>
          <w:color w:val="000000" w:themeColor="text1"/>
          <w:sz w:val="24"/>
          <w:szCs w:val="24"/>
        </w:rPr>
        <w:t>The LTAG is charged by the University Education Committee and Regulatory Framework Committee with the following responsibilities:</w:t>
      </w:r>
    </w:p>
    <w:p w14:paraId="2758CFD2" w14:textId="55E6FF05" w:rsidR="00EE7C00" w:rsidRPr="00EE7C00" w:rsidRDefault="5F162662" w:rsidP="17EA3EDA">
      <w:pPr>
        <w:pStyle w:val="ListParagraph"/>
        <w:numPr>
          <w:ilvl w:val="0"/>
          <w:numId w:val="1"/>
        </w:numPr>
        <w:rPr>
          <w:rFonts w:eastAsia="Arial" w:cs="Arial"/>
          <w:color w:val="000000" w:themeColor="text1"/>
          <w:sz w:val="24"/>
          <w:szCs w:val="24"/>
        </w:rPr>
      </w:pPr>
      <w:r w:rsidRPr="17EA3EDA">
        <w:rPr>
          <w:rFonts w:eastAsia="Arial" w:cs="Arial"/>
          <w:color w:val="000000" w:themeColor="text1"/>
          <w:sz w:val="24"/>
          <w:szCs w:val="24"/>
        </w:rPr>
        <w:t>To advise the University Education Committee/ Regulatory Framework Committee on the development, implementation, and monitoring of learning, teaching and assessment policies and practice.</w:t>
      </w:r>
    </w:p>
    <w:p w14:paraId="78084287" w14:textId="2ED44FA7" w:rsidR="00EE7C00" w:rsidRPr="00EE7C00" w:rsidRDefault="5F162662" w:rsidP="17EA3EDA">
      <w:pPr>
        <w:pStyle w:val="ListParagraph"/>
        <w:numPr>
          <w:ilvl w:val="0"/>
          <w:numId w:val="1"/>
        </w:numPr>
        <w:spacing w:beforeAutospacing="1" w:afterAutospacing="1"/>
        <w:rPr>
          <w:rFonts w:eastAsia="Arial" w:cs="Arial"/>
          <w:color w:val="000000" w:themeColor="text1"/>
          <w:sz w:val="24"/>
          <w:szCs w:val="24"/>
        </w:rPr>
      </w:pPr>
      <w:r w:rsidRPr="17EA3EDA">
        <w:rPr>
          <w:rFonts w:eastAsia="Arial" w:cs="Arial"/>
          <w:color w:val="000000" w:themeColor="text1"/>
          <w:sz w:val="24"/>
          <w:szCs w:val="24"/>
        </w:rPr>
        <w:t>To systematically review proposals and policies relating to learning, teaching and assessment matters to be presented to EC and RFC.</w:t>
      </w:r>
    </w:p>
    <w:p w14:paraId="3486DC44" w14:textId="5EC298DB" w:rsidR="00EE7C00" w:rsidRPr="00EE7C00" w:rsidRDefault="5F162662" w:rsidP="17EA3EDA">
      <w:pPr>
        <w:pStyle w:val="ListParagraph"/>
        <w:numPr>
          <w:ilvl w:val="0"/>
          <w:numId w:val="1"/>
        </w:numPr>
        <w:spacing w:beforeAutospacing="1" w:afterAutospacing="1"/>
        <w:rPr>
          <w:rFonts w:eastAsia="Arial" w:cs="Arial"/>
          <w:color w:val="000000" w:themeColor="text1"/>
          <w:sz w:val="24"/>
          <w:szCs w:val="24"/>
        </w:rPr>
      </w:pPr>
      <w:r w:rsidRPr="17EA3EDA">
        <w:rPr>
          <w:rFonts w:eastAsia="Arial" w:cs="Arial"/>
          <w:color w:val="000000" w:themeColor="text1"/>
          <w:sz w:val="24"/>
          <w:szCs w:val="24"/>
        </w:rPr>
        <w:t>To support the implementation of policies and procedures agreed at EC and RFC.</w:t>
      </w:r>
    </w:p>
    <w:p w14:paraId="4BFFEF58" w14:textId="1F81E696" w:rsidR="00EE7C00" w:rsidRPr="00EE7C00" w:rsidRDefault="5F162662" w:rsidP="17EA3EDA">
      <w:pPr>
        <w:pStyle w:val="ListParagraph"/>
        <w:numPr>
          <w:ilvl w:val="0"/>
          <w:numId w:val="1"/>
        </w:numPr>
        <w:spacing w:beforeAutospacing="1" w:afterAutospacing="1"/>
        <w:rPr>
          <w:rFonts w:eastAsia="Arial" w:cs="Arial"/>
          <w:color w:val="000000" w:themeColor="text1"/>
          <w:sz w:val="24"/>
          <w:szCs w:val="24"/>
        </w:rPr>
      </w:pPr>
      <w:r w:rsidRPr="17EA3EDA">
        <w:rPr>
          <w:rFonts w:eastAsia="Arial" w:cs="Arial"/>
          <w:color w:val="000000" w:themeColor="text1"/>
          <w:sz w:val="24"/>
          <w:szCs w:val="24"/>
        </w:rPr>
        <w:t>To act as an institutional forum to identify, evaluate, and promote innovative and effective practices in learning, teaching, assessment and curriculum design and enhancement, including digital education and learning technologies.</w:t>
      </w:r>
    </w:p>
    <w:p w14:paraId="1D4F35E7" w14:textId="73D684BA" w:rsidR="00EE7C00" w:rsidRPr="00EE7C00" w:rsidRDefault="5F162662" w:rsidP="17EA3EDA">
      <w:pPr>
        <w:pStyle w:val="ListParagraph"/>
        <w:numPr>
          <w:ilvl w:val="0"/>
          <w:numId w:val="1"/>
        </w:numPr>
        <w:rPr>
          <w:rFonts w:eastAsia="Arial" w:cs="Arial"/>
          <w:color w:val="000000" w:themeColor="text1"/>
          <w:sz w:val="24"/>
          <w:szCs w:val="24"/>
        </w:rPr>
      </w:pPr>
      <w:r w:rsidRPr="17EA3EDA">
        <w:rPr>
          <w:rFonts w:eastAsia="Arial" w:cs="Arial"/>
          <w:color w:val="000000" w:themeColor="text1"/>
          <w:sz w:val="24"/>
          <w:szCs w:val="24"/>
        </w:rPr>
        <w:t>To enhance university-wide engagement in Kingston’s learning and teaching resources, including digital education and learning technologies.</w:t>
      </w:r>
    </w:p>
    <w:p w14:paraId="1C35FE1A" w14:textId="755B2BE2" w:rsidR="00EE7C00" w:rsidRPr="00EE7C00" w:rsidRDefault="5F162662" w:rsidP="17EA3EDA">
      <w:pPr>
        <w:pStyle w:val="ListParagraph"/>
        <w:numPr>
          <w:ilvl w:val="0"/>
          <w:numId w:val="1"/>
        </w:numPr>
        <w:rPr>
          <w:rFonts w:eastAsia="Arial" w:cs="Arial"/>
          <w:color w:val="000000" w:themeColor="text1"/>
          <w:sz w:val="24"/>
          <w:szCs w:val="24"/>
        </w:rPr>
      </w:pPr>
      <w:r w:rsidRPr="17EA3EDA">
        <w:rPr>
          <w:rFonts w:eastAsia="Arial" w:cs="Arial"/>
          <w:color w:val="000000" w:themeColor="text1"/>
          <w:sz w:val="24"/>
          <w:szCs w:val="24"/>
        </w:rPr>
        <w:t xml:space="preserve">To support developments and innovations in our digital and on campus learning and teaching spaces and offer responses to changing patterns of learning and teaching delivery. </w:t>
      </w:r>
    </w:p>
    <w:p w14:paraId="307590A3" w14:textId="146160E7" w:rsidR="00EE7C00" w:rsidRPr="00EE7C00" w:rsidRDefault="5F162662" w:rsidP="17EA3EDA">
      <w:pPr>
        <w:pStyle w:val="ListParagraph"/>
        <w:numPr>
          <w:ilvl w:val="0"/>
          <w:numId w:val="1"/>
        </w:numPr>
        <w:spacing w:line="276" w:lineRule="auto"/>
        <w:rPr>
          <w:rFonts w:eastAsia="Arial" w:cs="Arial"/>
          <w:color w:val="000000" w:themeColor="text1"/>
          <w:sz w:val="24"/>
          <w:szCs w:val="24"/>
        </w:rPr>
      </w:pPr>
      <w:r w:rsidRPr="17EA3EDA">
        <w:rPr>
          <w:rFonts w:eastAsia="Arial" w:cs="Arial"/>
          <w:color w:val="000000" w:themeColor="text1"/>
          <w:sz w:val="24"/>
          <w:szCs w:val="24"/>
        </w:rPr>
        <w:t xml:space="preserve">To maintain an overview of national and international developments in learning, teaching and assessment, including digital education, learning technologies and learning spaces, in higher education, supporting the future proofing of our education mission. </w:t>
      </w:r>
    </w:p>
    <w:p w14:paraId="11691EC5" w14:textId="2E1389D4" w:rsidR="00EE7C00" w:rsidRPr="00EE7C00" w:rsidRDefault="00EE7C00" w:rsidP="17EA3EDA">
      <w:pPr>
        <w:contextualSpacing/>
        <w:rPr>
          <w:rFonts w:eastAsia="Arial" w:cs="Arial"/>
          <w:color w:val="000000" w:themeColor="text1"/>
          <w:sz w:val="24"/>
          <w:szCs w:val="24"/>
        </w:rPr>
      </w:pPr>
    </w:p>
    <w:p w14:paraId="33A8FAC2" w14:textId="5A026AB6" w:rsidR="00EE7C00" w:rsidRPr="00EE7C00" w:rsidRDefault="00EE7C00" w:rsidP="17EA3EDA">
      <w:pPr>
        <w:keepNext/>
        <w:keepLines/>
        <w:spacing w:before="240"/>
        <w:contextualSpacing/>
        <w:rPr>
          <w:rFonts w:eastAsia="Arial" w:cs="Arial"/>
          <w:color w:val="000000" w:themeColor="text1"/>
          <w:sz w:val="24"/>
          <w:szCs w:val="24"/>
        </w:rPr>
      </w:pPr>
    </w:p>
    <w:p w14:paraId="7FE4B7DE" w14:textId="42B67FAF" w:rsidR="00EE7C00" w:rsidRPr="00EE7C00" w:rsidRDefault="00EE7C00" w:rsidP="17EA3EDA">
      <w:pPr>
        <w:keepNext/>
        <w:keepLines/>
        <w:spacing w:before="240"/>
        <w:contextualSpacing/>
        <w:rPr>
          <w:rFonts w:eastAsia="Arial" w:cs="Arial"/>
          <w:color w:val="000000" w:themeColor="text1"/>
          <w:sz w:val="24"/>
          <w:szCs w:val="24"/>
        </w:rPr>
      </w:pPr>
    </w:p>
    <w:p w14:paraId="6D6BBA2A" w14:textId="4CF61C96" w:rsidR="00EE7C00" w:rsidRPr="00EE7C00" w:rsidRDefault="5F162662" w:rsidP="17EA3EDA">
      <w:pPr>
        <w:pStyle w:val="Heading1"/>
        <w:contextualSpacing/>
        <w:rPr>
          <w:rFonts w:ascii="Arial" w:eastAsia="Arial" w:hAnsi="Arial" w:cs="Arial"/>
          <w:color w:val="000000" w:themeColor="text1"/>
          <w:sz w:val="24"/>
          <w:szCs w:val="24"/>
        </w:rPr>
      </w:pPr>
      <w:r w:rsidRPr="17EA3EDA">
        <w:rPr>
          <w:rFonts w:ascii="Arial" w:eastAsia="Arial" w:hAnsi="Arial" w:cs="Arial"/>
          <w:b/>
          <w:bCs/>
          <w:color w:val="000000" w:themeColor="text1"/>
          <w:sz w:val="24"/>
          <w:szCs w:val="24"/>
        </w:rPr>
        <w:t>Membership</w:t>
      </w:r>
    </w:p>
    <w:p w14:paraId="0D8C724B" w14:textId="4320C65C" w:rsidR="00EE7C00" w:rsidRPr="00EE7C00" w:rsidRDefault="00EE7C00" w:rsidP="17EA3EDA">
      <w:pPr>
        <w:contextualSpacing/>
        <w:rPr>
          <w:rFonts w:ascii="Calibri" w:hAnsi="Calibri" w:cs="Calibri"/>
          <w:color w:val="000000" w:themeColor="text1"/>
        </w:rPr>
      </w:pPr>
    </w:p>
    <w:p w14:paraId="33F027E9" w14:textId="11B2D023"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Head of Learning and Teaching Enhancement (Chair)</w:t>
      </w:r>
    </w:p>
    <w:p w14:paraId="4DC3E112" w14:textId="3AA97854"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 xml:space="preserve">Head of Technology Enhanced Learning </w:t>
      </w:r>
    </w:p>
    <w:p w14:paraId="4D0A1D1B" w14:textId="3529954B"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Head of Curriculum Development and Enhancement</w:t>
      </w:r>
    </w:p>
    <w:p w14:paraId="70E76BD6" w14:textId="77D5B453"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Head of Quality Assurance and Enhancement</w:t>
      </w:r>
    </w:p>
    <w:p w14:paraId="26BD801E" w14:textId="0D3F0F07"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Academic Registrar (Regulations, Assessment and Student Casework)</w:t>
      </w:r>
    </w:p>
    <w:p w14:paraId="72C64534" w14:textId="0A2E1502" w:rsidR="00EE7C00" w:rsidRPr="00EE7C00" w:rsidRDefault="5F162662" w:rsidP="17EA3EDA">
      <w:pPr>
        <w:contextualSpacing/>
        <w:rPr>
          <w:rFonts w:eastAsia="Arial" w:cs="Arial"/>
          <w:color w:val="000000" w:themeColor="text1"/>
          <w:sz w:val="24"/>
          <w:szCs w:val="24"/>
        </w:rPr>
      </w:pPr>
      <w:r w:rsidRPr="17EA3EDA">
        <w:rPr>
          <w:rFonts w:eastAsia="Arial" w:cs="Arial"/>
          <w:color w:val="000000" w:themeColor="text1"/>
          <w:sz w:val="24"/>
          <w:szCs w:val="24"/>
        </w:rPr>
        <w:t>School Directors of Learning and Teaching</w:t>
      </w:r>
    </w:p>
    <w:p w14:paraId="09B7C0A5" w14:textId="38B03353" w:rsidR="00EE7C00" w:rsidRPr="00EE7C00" w:rsidRDefault="5F162662" w:rsidP="17EA3EDA">
      <w:pPr>
        <w:pStyle w:val="BodyA"/>
        <w:contextualSpacing/>
        <w:rPr>
          <w:rFonts w:eastAsia="Arial"/>
          <w:color w:val="000000" w:themeColor="text1"/>
          <w:lang w:val="en-GB"/>
        </w:rPr>
      </w:pPr>
      <w:r w:rsidRPr="17EA3EDA">
        <w:rPr>
          <w:rFonts w:eastAsia="Arial"/>
          <w:color w:val="000000" w:themeColor="text1"/>
        </w:rPr>
        <w:t>Kingston Students’ Union Representative</w:t>
      </w:r>
    </w:p>
    <w:p w14:paraId="1E4E660E" w14:textId="12CBB77A" w:rsidR="00EE7C00" w:rsidRPr="00EE7C00" w:rsidRDefault="5F162662" w:rsidP="17EA3EDA">
      <w:pPr>
        <w:pStyle w:val="BodyA"/>
        <w:contextualSpacing/>
        <w:rPr>
          <w:rFonts w:eastAsia="Arial"/>
          <w:color w:val="000000" w:themeColor="text1"/>
          <w:lang w:val="en-GB"/>
        </w:rPr>
      </w:pPr>
      <w:r w:rsidRPr="17EA3EDA">
        <w:rPr>
          <w:rFonts w:eastAsia="Arial"/>
          <w:color w:val="000000" w:themeColor="text1"/>
        </w:rPr>
        <w:t>Student Development and Graduate Success Director or delegate (Future Skills Representative)</w:t>
      </w:r>
    </w:p>
    <w:p w14:paraId="73DDFA67" w14:textId="77777777" w:rsidR="00D25263" w:rsidRDefault="00D25263" w:rsidP="17EA3EDA">
      <w:pPr>
        <w:spacing w:line="276" w:lineRule="auto"/>
        <w:contextualSpacing/>
        <w:rPr>
          <w:rFonts w:eastAsiaTheme="majorEastAsia" w:cs="Arial"/>
          <w:color w:val="000000"/>
          <w:sz w:val="28"/>
          <w:szCs w:val="28"/>
          <w:lang w:eastAsia="en-GB"/>
        </w:rPr>
      </w:pPr>
    </w:p>
    <w:p w14:paraId="25DC308A" w14:textId="77777777" w:rsidR="00D25263" w:rsidRDefault="00D25263" w:rsidP="17EA3EDA">
      <w:pPr>
        <w:spacing w:line="276" w:lineRule="auto"/>
        <w:rPr>
          <w:rFonts w:cs="Arial"/>
          <w:b/>
          <w:bCs/>
          <w:color w:val="000000"/>
          <w:sz w:val="24"/>
          <w:szCs w:val="24"/>
        </w:rPr>
      </w:pPr>
    </w:p>
    <w:p w14:paraId="7D0F2E8F" w14:textId="77777777" w:rsidR="00180942" w:rsidRDefault="00180942" w:rsidP="17EA3EDA">
      <w:pPr>
        <w:rPr>
          <w:color w:val="000000" w:themeColor="text1"/>
        </w:rPr>
      </w:pPr>
    </w:p>
    <w:sectPr w:rsidR="0018094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A937" w14:textId="77777777" w:rsidR="008C20FF" w:rsidRDefault="008C20FF" w:rsidP="00FE61CE">
      <w:r>
        <w:separator/>
      </w:r>
    </w:p>
  </w:endnote>
  <w:endnote w:type="continuationSeparator" w:id="0">
    <w:p w14:paraId="79A74EB7" w14:textId="77777777" w:rsidR="008C20FF" w:rsidRDefault="008C20FF" w:rsidP="00F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Times New Roman">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ヒラギノ角ゴ Pro W3">
    <w:altName w:val="Klee One"/>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5801" w14:textId="4249B11C" w:rsidR="00FE61CE" w:rsidRPr="00FE61CE" w:rsidRDefault="1F88A12D" w:rsidP="00FE61CE">
    <w:pPr>
      <w:pStyle w:val="Footer"/>
      <w:tabs>
        <w:tab w:val="center" w:pos="7513"/>
      </w:tabs>
      <w:rPr>
        <w:rFonts w:cs="Arial"/>
        <w:sz w:val="16"/>
        <w:szCs w:val="16"/>
      </w:rPr>
    </w:pPr>
    <w:r w:rsidRPr="1F88A12D">
      <w:rPr>
        <w:rFonts w:cs="Arial"/>
        <w:sz w:val="16"/>
        <w:szCs w:val="16"/>
      </w:rPr>
      <w:t>AQSH:  OG(x)</w:t>
    </w:r>
    <w:r w:rsidR="0A498BF5">
      <w:tab/>
    </w:r>
    <w:r w:rsidRPr="1F88A12D">
      <w:rPr>
        <w:rFonts w:cs="Arial"/>
        <w:sz w:val="16"/>
        <w:szCs w:val="16"/>
      </w:rPr>
      <w:t xml:space="preserve">     </w:t>
    </w:r>
    <w:r w:rsidRPr="1F88A12D">
      <w:rPr>
        <w:sz w:val="16"/>
        <w:szCs w:val="16"/>
      </w:rPr>
      <w:t xml:space="preserve">2025-26 </w:t>
    </w:r>
    <w:r w:rsidR="0A498BF5">
      <w:tab/>
    </w:r>
    <w:r w:rsidRPr="1F88A12D">
      <w:rPr>
        <w:rFonts w:cs="Arial"/>
        <w:sz w:val="16"/>
        <w:szCs w:val="16"/>
      </w:rPr>
      <w:t xml:space="preserve">                   </w:t>
    </w:r>
    <w:r w:rsidR="00945BF6">
      <w:rPr>
        <w:rFonts w:cs="Arial"/>
        <w:sz w:val="16"/>
        <w:szCs w:val="16"/>
      </w:rPr>
      <w:t xml:space="preserve">                                               </w:t>
    </w:r>
    <w:r w:rsidRPr="1F88A12D">
      <w:rPr>
        <w:rFonts w:cs="Arial"/>
        <w:sz w:val="16"/>
        <w:szCs w:val="16"/>
      </w:rPr>
      <w:t xml:space="preserve">Page </w:t>
    </w:r>
    <w:r w:rsidR="0A498BF5" w:rsidRPr="1F88A12D">
      <w:rPr>
        <w:rFonts w:cs="Arial"/>
        <w:b/>
        <w:bCs/>
        <w:sz w:val="16"/>
        <w:szCs w:val="16"/>
      </w:rPr>
      <w:fldChar w:fldCharType="begin"/>
    </w:r>
    <w:r w:rsidR="0A498BF5" w:rsidRPr="1F88A12D">
      <w:rPr>
        <w:rFonts w:cs="Arial"/>
        <w:b/>
        <w:bCs/>
        <w:sz w:val="16"/>
        <w:szCs w:val="16"/>
      </w:rPr>
      <w:instrText xml:space="preserve"> PAGE </w:instrText>
    </w:r>
    <w:r w:rsidR="0A498BF5" w:rsidRPr="1F88A12D">
      <w:rPr>
        <w:rFonts w:cs="Arial"/>
        <w:b/>
        <w:bCs/>
        <w:sz w:val="16"/>
        <w:szCs w:val="16"/>
      </w:rPr>
      <w:fldChar w:fldCharType="separate"/>
    </w:r>
    <w:r w:rsidRPr="1F88A12D">
      <w:rPr>
        <w:rFonts w:cs="Arial"/>
        <w:b/>
        <w:bCs/>
        <w:sz w:val="16"/>
        <w:szCs w:val="16"/>
      </w:rPr>
      <w:t>1</w:t>
    </w:r>
    <w:r w:rsidR="0A498BF5" w:rsidRPr="1F88A12D">
      <w:rPr>
        <w:rFonts w:cs="Arial"/>
        <w:b/>
        <w:bCs/>
        <w:sz w:val="16"/>
        <w:szCs w:val="16"/>
      </w:rPr>
      <w:fldChar w:fldCharType="end"/>
    </w:r>
    <w:r w:rsidRPr="1F88A12D">
      <w:rPr>
        <w:rFonts w:cs="Arial"/>
        <w:sz w:val="16"/>
        <w:szCs w:val="16"/>
      </w:rPr>
      <w:t xml:space="preserve"> of </w:t>
    </w:r>
    <w:r w:rsidR="0A498BF5" w:rsidRPr="1F88A12D">
      <w:rPr>
        <w:rFonts w:cs="Arial"/>
        <w:b/>
        <w:bCs/>
        <w:sz w:val="16"/>
        <w:szCs w:val="16"/>
      </w:rPr>
      <w:fldChar w:fldCharType="begin"/>
    </w:r>
    <w:r w:rsidR="0A498BF5" w:rsidRPr="1F88A12D">
      <w:rPr>
        <w:rFonts w:cs="Arial"/>
        <w:b/>
        <w:bCs/>
        <w:sz w:val="16"/>
        <w:szCs w:val="16"/>
      </w:rPr>
      <w:instrText xml:space="preserve"> NUMPAGES  </w:instrText>
    </w:r>
    <w:r w:rsidR="0A498BF5" w:rsidRPr="1F88A12D">
      <w:rPr>
        <w:rFonts w:cs="Arial"/>
        <w:b/>
        <w:bCs/>
        <w:sz w:val="16"/>
        <w:szCs w:val="16"/>
      </w:rPr>
      <w:fldChar w:fldCharType="separate"/>
    </w:r>
    <w:r w:rsidRPr="1F88A12D">
      <w:rPr>
        <w:rFonts w:cs="Arial"/>
        <w:b/>
        <w:bCs/>
        <w:sz w:val="16"/>
        <w:szCs w:val="16"/>
      </w:rPr>
      <w:t>2</w:t>
    </w:r>
    <w:r w:rsidR="0A498BF5" w:rsidRPr="1F88A12D">
      <w:rPr>
        <w:rFonts w:cs="Arial"/>
        <w:b/>
        <w:bCs/>
        <w:sz w:val="16"/>
        <w:szCs w:val="16"/>
      </w:rPr>
      <w:fldChar w:fldCharType="end"/>
    </w:r>
  </w:p>
  <w:p w14:paraId="76560B13" w14:textId="77E60C43" w:rsidR="00FE61CE" w:rsidRDefault="00FE61CE">
    <w:pPr>
      <w:pStyle w:val="Footer"/>
    </w:pPr>
  </w:p>
  <w:p w14:paraId="14970BA5" w14:textId="77777777" w:rsidR="00FE61CE" w:rsidRDefault="00FE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A554" w14:textId="77777777" w:rsidR="008C20FF" w:rsidRDefault="008C20FF" w:rsidP="00FE61CE">
      <w:r>
        <w:separator/>
      </w:r>
    </w:p>
  </w:footnote>
  <w:footnote w:type="continuationSeparator" w:id="0">
    <w:p w14:paraId="4266A41C" w14:textId="77777777" w:rsidR="008C20FF" w:rsidRDefault="008C20FF" w:rsidP="00F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E0C7"/>
    <w:multiLevelType w:val="multilevel"/>
    <w:tmpl w:val="B3BE3280"/>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E51308"/>
    <w:multiLevelType w:val="hybridMultilevel"/>
    <w:tmpl w:val="48FAF920"/>
    <w:lvl w:ilvl="0" w:tplc="E7B6D53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344720106">
    <w:abstractNumId w:val="0"/>
  </w:num>
  <w:num w:numId="2" w16cid:durableId="654800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3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C4"/>
    <w:rsid w:val="0017205B"/>
    <w:rsid w:val="00180942"/>
    <w:rsid w:val="001A7625"/>
    <w:rsid w:val="002F050F"/>
    <w:rsid w:val="00483AF2"/>
    <w:rsid w:val="005439DC"/>
    <w:rsid w:val="00594E2C"/>
    <w:rsid w:val="006525D7"/>
    <w:rsid w:val="0067749D"/>
    <w:rsid w:val="00697860"/>
    <w:rsid w:val="006B2A00"/>
    <w:rsid w:val="006C49ED"/>
    <w:rsid w:val="006F636D"/>
    <w:rsid w:val="00797F22"/>
    <w:rsid w:val="007A57F5"/>
    <w:rsid w:val="007A6C7C"/>
    <w:rsid w:val="007C7D62"/>
    <w:rsid w:val="008152F0"/>
    <w:rsid w:val="008C20FF"/>
    <w:rsid w:val="00945BF6"/>
    <w:rsid w:val="00991570"/>
    <w:rsid w:val="00A07E30"/>
    <w:rsid w:val="00A809E7"/>
    <w:rsid w:val="00AF0F94"/>
    <w:rsid w:val="00B425BD"/>
    <w:rsid w:val="00C676CC"/>
    <w:rsid w:val="00D25263"/>
    <w:rsid w:val="00DD7385"/>
    <w:rsid w:val="00E475C4"/>
    <w:rsid w:val="00EE7C00"/>
    <w:rsid w:val="00F366BA"/>
    <w:rsid w:val="00F74213"/>
    <w:rsid w:val="00FE61CE"/>
    <w:rsid w:val="0A498BF5"/>
    <w:rsid w:val="1193A6B0"/>
    <w:rsid w:val="17EA3EDA"/>
    <w:rsid w:val="1F88A12D"/>
    <w:rsid w:val="5F1626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84EB"/>
  <w15:chartTrackingRefBased/>
  <w15:docId w15:val="{63DB3E91-FF35-42C2-98C4-0E5B5F52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C4"/>
    <w:pPr>
      <w:spacing w:after="0" w:line="240"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E475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E475C4"/>
    <w:pPr>
      <w:keepNext/>
      <w:pBdr>
        <w:bottom w:val="single" w:sz="4" w:space="1" w:color="auto"/>
      </w:pBdr>
      <w:spacing w:before="240" w:after="60"/>
      <w:outlineLvl w:val="1"/>
    </w:pPr>
    <w:rPr>
      <w:rFonts w:eastAsia="SimSun"/>
      <w:b/>
      <w:bCs/>
      <w:iCs/>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5C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75C4"/>
    <w:rPr>
      <w:rFonts w:ascii="Arial" w:eastAsia="SimSun" w:hAnsi="Arial" w:cs="Times New Roman"/>
      <w:b/>
      <w:bCs/>
      <w:iCs/>
      <w:kern w:val="0"/>
      <w:szCs w:val="28"/>
      <w:lang w:val="x-none" w:eastAsia="zh-CN"/>
      <w14:ligatures w14:val="none"/>
    </w:rPr>
  </w:style>
  <w:style w:type="paragraph" w:styleId="Title">
    <w:name w:val="Title"/>
    <w:basedOn w:val="Normal"/>
    <w:next w:val="Normal"/>
    <w:link w:val="TitleChar"/>
    <w:qFormat/>
    <w:rsid w:val="00E475C4"/>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475C4"/>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qFormat/>
    <w:rsid w:val="00E475C4"/>
    <w:pPr>
      <w:spacing w:after="160"/>
    </w:pPr>
    <w:rPr>
      <w:rFonts w:asciiTheme="minorHAnsi" w:eastAsiaTheme="minorEastAsia" w:hAnsiTheme="minorHAnsi" w:cstheme="minorBidi"/>
      <w:color w:val="5A5A5A" w:themeColor="text1" w:themeTint="A5"/>
      <w:spacing w:val="15"/>
      <w:lang w:eastAsia="en-GB"/>
    </w:rPr>
  </w:style>
  <w:style w:type="character" w:customStyle="1" w:styleId="SubtitleChar">
    <w:name w:val="Subtitle Char"/>
    <w:basedOn w:val="DefaultParagraphFont"/>
    <w:link w:val="Subtitle"/>
    <w:rsid w:val="00E475C4"/>
    <w:rPr>
      <w:rFonts w:eastAsiaTheme="minorEastAsia"/>
      <w:color w:val="5A5A5A" w:themeColor="text1" w:themeTint="A5"/>
      <w:spacing w:val="15"/>
      <w:kern w:val="0"/>
      <w:lang w:eastAsia="en-GB"/>
      <w14:ligatures w14:val="none"/>
    </w:rPr>
  </w:style>
  <w:style w:type="paragraph" w:customStyle="1" w:styleId="BodyA">
    <w:name w:val="Body A"/>
    <w:autoRedefine/>
    <w:rsid w:val="00991570"/>
    <w:pPr>
      <w:spacing w:after="0" w:line="276" w:lineRule="auto"/>
    </w:pPr>
    <w:rPr>
      <w:rFonts w:ascii="Arial" w:eastAsia="ヒラギノ角ゴ Pro W3" w:hAnsi="Arial" w:cs="Arial"/>
      <w:color w:val="000000"/>
      <w:kern w:val="0"/>
      <w:sz w:val="24"/>
      <w:szCs w:val="24"/>
      <w:lang w:val="en-US" w:eastAsia="en-GB"/>
      <w14:ligatures w14:val="none"/>
    </w:rPr>
  </w:style>
  <w:style w:type="character" w:styleId="Strong">
    <w:name w:val="Strong"/>
    <w:basedOn w:val="DefaultParagraphFont"/>
    <w:qFormat/>
    <w:rsid w:val="00E475C4"/>
    <w:rPr>
      <w:b/>
      <w:bCs/>
    </w:rPr>
  </w:style>
  <w:style w:type="paragraph" w:styleId="Header">
    <w:name w:val="header"/>
    <w:basedOn w:val="Normal"/>
    <w:link w:val="HeaderChar"/>
    <w:uiPriority w:val="99"/>
    <w:unhideWhenUsed/>
    <w:rsid w:val="00FE61CE"/>
    <w:pPr>
      <w:tabs>
        <w:tab w:val="center" w:pos="4513"/>
        <w:tab w:val="right" w:pos="9026"/>
      </w:tabs>
    </w:pPr>
  </w:style>
  <w:style w:type="character" w:customStyle="1" w:styleId="HeaderChar">
    <w:name w:val="Header Char"/>
    <w:basedOn w:val="DefaultParagraphFont"/>
    <w:link w:val="Header"/>
    <w:uiPriority w:val="99"/>
    <w:rsid w:val="00FE61CE"/>
    <w:rPr>
      <w:rFonts w:ascii="Arial" w:eastAsia="Calibri" w:hAnsi="Arial" w:cs="Times New Roman"/>
      <w:kern w:val="0"/>
      <w14:ligatures w14:val="none"/>
    </w:rPr>
  </w:style>
  <w:style w:type="paragraph" w:styleId="Footer">
    <w:name w:val="footer"/>
    <w:basedOn w:val="Normal"/>
    <w:link w:val="FooterChar"/>
    <w:uiPriority w:val="99"/>
    <w:unhideWhenUsed/>
    <w:rsid w:val="00FE61CE"/>
    <w:pPr>
      <w:tabs>
        <w:tab w:val="center" w:pos="4513"/>
        <w:tab w:val="right" w:pos="9026"/>
      </w:tabs>
    </w:pPr>
  </w:style>
  <w:style w:type="character" w:customStyle="1" w:styleId="FooterChar">
    <w:name w:val="Footer Char"/>
    <w:basedOn w:val="DefaultParagraphFont"/>
    <w:link w:val="Footer"/>
    <w:uiPriority w:val="99"/>
    <w:rsid w:val="00FE61CE"/>
    <w:rPr>
      <w:rFonts w:ascii="Arial" w:eastAsia="Calibri" w:hAnsi="Arial"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676CC"/>
    <w:pPr>
      <w:spacing w:after="0" w:line="240" w:lineRule="auto"/>
    </w:pPr>
    <w:rPr>
      <w:rFonts w:ascii="Arial" w:eastAsia="Calibri" w:hAnsi="Arial" w:cs="Times New Roman"/>
      <w:kern w:val="0"/>
      <w14:ligatures w14:val="none"/>
    </w:rPr>
  </w:style>
  <w:style w:type="character" w:styleId="CommentReference">
    <w:name w:val="annotation reference"/>
    <w:rsid w:val="00EE7C00"/>
    <w:rPr>
      <w:sz w:val="16"/>
      <w:szCs w:val="16"/>
    </w:rPr>
  </w:style>
  <w:style w:type="paragraph" w:styleId="CommentText">
    <w:name w:val="annotation text"/>
    <w:basedOn w:val="Normal"/>
    <w:link w:val="CommentTextChar"/>
    <w:rsid w:val="00EE7C00"/>
    <w:rPr>
      <w:rFonts w:eastAsia="Times New Roman"/>
      <w:sz w:val="20"/>
      <w:szCs w:val="20"/>
      <w:lang w:eastAsia="en-GB"/>
    </w:rPr>
  </w:style>
  <w:style w:type="character" w:customStyle="1" w:styleId="CommentTextChar">
    <w:name w:val="Comment Text Char"/>
    <w:basedOn w:val="DefaultParagraphFont"/>
    <w:link w:val="CommentText"/>
    <w:rsid w:val="00EE7C00"/>
    <w:rPr>
      <w:rFonts w:ascii="Arial" w:eastAsia="Times New Roman" w:hAnsi="Arial" w:cs="Times New Roman"/>
      <w:kern w:val="0"/>
      <w:sz w:val="20"/>
      <w:szCs w:val="20"/>
      <w:lang w:eastAsia="en-GB"/>
      <w14:ligatures w14:val="none"/>
    </w:rPr>
  </w:style>
  <w:style w:type="paragraph" w:styleId="ListParagraph">
    <w:name w:val="List Paragraph"/>
    <w:basedOn w:val="Normal"/>
    <w:uiPriority w:val="34"/>
    <w:qFormat/>
    <w:rsid w:val="17EA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0E218-339A-4CFE-8C7A-5F08613F4478}">
  <ds:schemaRefs>
    <ds:schemaRef ds:uri="http://schemas.microsoft.com/sharepoint/v3/contenttype/forms"/>
  </ds:schemaRefs>
</ds:datastoreItem>
</file>

<file path=customXml/itemProps2.xml><?xml version="1.0" encoding="utf-8"?>
<ds:datastoreItem xmlns:ds="http://schemas.openxmlformats.org/officeDocument/2006/customXml" ds:itemID="{C42F03CB-B077-467C-BF49-045EFD4B394E}">
  <ds:schemaRefs>
    <ds:schemaRef ds:uri="http://purl.org/dc/elements/1.1/"/>
    <ds:schemaRef ds:uri="http://schemas.openxmlformats.org/package/2006/metadata/core-properties"/>
    <ds:schemaRef ds:uri="http://www.w3.org/XML/1998/namespace"/>
    <ds:schemaRef ds:uri="3949bc56-6107-4a37-a900-858857adfede"/>
    <ds:schemaRef ds:uri="http://schemas.microsoft.com/office/2006/metadata/properties"/>
    <ds:schemaRef ds:uri="http://purl.org/dc/terms/"/>
    <ds:schemaRef ds:uri="http://schemas.microsoft.com/office/2006/documentManagement/types"/>
    <ds:schemaRef ds:uri="http://schemas.microsoft.com/office/infopath/2007/PartnerControls"/>
    <ds:schemaRef ds:uri="cca6b130-34ce-479a-80ad-5918b2c7d9b9"/>
    <ds:schemaRef ds:uri="http://purl.org/dc/dcmitype/"/>
  </ds:schemaRefs>
</ds:datastoreItem>
</file>

<file path=customXml/itemProps3.xml><?xml version="1.0" encoding="utf-8"?>
<ds:datastoreItem xmlns:ds="http://schemas.openxmlformats.org/officeDocument/2006/customXml" ds:itemID="{ADCB5ACB-0469-4718-AE03-24671FF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Bradbury, Becky</cp:lastModifiedBy>
  <cp:revision>2</cp:revision>
  <dcterms:created xsi:type="dcterms:W3CDTF">2025-10-03T12:41:00Z</dcterms:created>
  <dcterms:modified xsi:type="dcterms:W3CDTF">2025-10-03T12:41:00Z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2024-05-10T08:43:09Z</vt:lpwstr>
  </property>
  <property fmtid="{D5CDD505-2E9C-101B-9397-08002B2CF9AE}" pid="6" name="MSIP_Label_55e1b534-098f-4ac8-9223-69712ddf82de_Method">
    <vt:lpwstr>Standard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2cc93276-16b9-4659-98e4-68d27618c5d4</vt:lpwstr>
  </property>
  <property fmtid="{D5CDD505-2E9C-101B-9397-08002B2CF9AE}" pid="10" name="MSIP_Label_55e1b534-098f-4ac8-9223-69712ddf82de_ContentBits">
    <vt:lpwstr>0</vt:lpwstr>
  </property>
</Properties>
</file>