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7D057" w14:textId="1C9BB115" w:rsidR="5E9D76F5" w:rsidRDefault="5E9D76F5" w:rsidP="14B506C8">
      <w:pPr>
        <w:pStyle w:val="NormalWeb"/>
        <w:rPr>
          <w:rFonts w:ascii="Arial" w:eastAsia="Arial" w:hAnsi="Arial" w:cs="Arial"/>
          <w:color w:val="000000" w:themeColor="text1"/>
          <w:sz w:val="22"/>
          <w:szCs w:val="22"/>
        </w:rPr>
      </w:pPr>
      <w:r w:rsidRPr="14B506C8">
        <w:rPr>
          <w:rFonts w:ascii="Arial" w:eastAsia="Arial" w:hAnsi="Arial" w:cs="Arial"/>
          <w:b/>
          <w:bCs/>
          <w:color w:val="000000" w:themeColor="text1"/>
          <w:sz w:val="22"/>
          <w:szCs w:val="22"/>
          <w:u w:val="single"/>
        </w:rPr>
        <w:t>STANDING VALIDATION PANEL</w:t>
      </w:r>
    </w:p>
    <w:p w14:paraId="429B98BF" w14:textId="50BEE6B5" w:rsidR="5E9D76F5" w:rsidRDefault="5E9D76F5" w:rsidP="14B506C8">
      <w:pPr>
        <w:pStyle w:val="NormalWeb"/>
        <w:rPr>
          <w:rFonts w:ascii="Arial" w:eastAsia="Arial" w:hAnsi="Arial" w:cs="Arial"/>
          <w:color w:val="000000" w:themeColor="text1"/>
          <w:sz w:val="22"/>
          <w:szCs w:val="22"/>
        </w:rPr>
      </w:pPr>
      <w:r w:rsidRPr="14B506C8">
        <w:rPr>
          <w:rFonts w:ascii="Arial" w:eastAsia="Arial" w:hAnsi="Arial" w:cs="Arial"/>
          <w:b/>
          <w:bCs/>
          <w:color w:val="000000" w:themeColor="text1"/>
          <w:sz w:val="22"/>
          <w:szCs w:val="22"/>
        </w:rPr>
        <w:t>Type</w:t>
      </w:r>
      <w:r w:rsidRPr="14B506C8">
        <w:rPr>
          <w:rFonts w:ascii="Arial" w:eastAsia="Arial" w:hAnsi="Arial" w:cs="Arial"/>
          <w:color w:val="000000" w:themeColor="text1"/>
          <w:sz w:val="22"/>
          <w:szCs w:val="22"/>
        </w:rPr>
        <w:t>: Standing Committee</w:t>
      </w:r>
    </w:p>
    <w:p w14:paraId="71DD5B02" w14:textId="650FD6A9" w:rsidR="5E9D76F5" w:rsidRDefault="5E9D76F5" w:rsidP="14B506C8">
      <w:pPr>
        <w:pStyle w:val="NormalWeb"/>
        <w:spacing w:before="0" w:beforeAutospacing="0" w:after="0" w:afterAutospacing="0"/>
        <w:rPr>
          <w:rFonts w:ascii="Arial" w:eastAsia="Arial" w:hAnsi="Arial" w:cs="Arial"/>
          <w:color w:val="000000" w:themeColor="text1"/>
          <w:sz w:val="22"/>
          <w:szCs w:val="22"/>
        </w:rPr>
      </w:pPr>
      <w:r w:rsidRPr="14B506C8">
        <w:rPr>
          <w:rFonts w:ascii="Arial" w:eastAsia="Arial" w:hAnsi="Arial" w:cs="Arial"/>
          <w:b/>
          <w:bCs/>
          <w:color w:val="000000" w:themeColor="text1"/>
          <w:sz w:val="22"/>
          <w:szCs w:val="22"/>
        </w:rPr>
        <w:t>Reporting Line</w:t>
      </w:r>
      <w:r w:rsidRPr="14B506C8">
        <w:rPr>
          <w:rFonts w:ascii="Arial" w:eastAsia="Arial" w:hAnsi="Arial" w:cs="Arial"/>
          <w:color w:val="000000" w:themeColor="text1"/>
          <w:sz w:val="22"/>
          <w:szCs w:val="22"/>
        </w:rPr>
        <w:t>:  Quality Assurance Portfolio Change Committee</w:t>
      </w:r>
    </w:p>
    <w:p w14:paraId="36276442" w14:textId="45A65320" w:rsidR="5E9D76F5" w:rsidRDefault="5E9D76F5" w:rsidP="14B506C8">
      <w:pPr>
        <w:pStyle w:val="NormalWeb"/>
        <w:spacing w:before="0" w:beforeAutospacing="0" w:after="0" w:afterAutospacing="0"/>
        <w:rPr>
          <w:rFonts w:ascii="Arial" w:eastAsia="Arial" w:hAnsi="Arial" w:cs="Arial"/>
          <w:color w:val="000000" w:themeColor="text1"/>
          <w:sz w:val="22"/>
          <w:szCs w:val="22"/>
        </w:rPr>
      </w:pPr>
      <w:r w:rsidRPr="14B506C8">
        <w:rPr>
          <w:rFonts w:ascii="Arial" w:eastAsia="Arial" w:hAnsi="Arial" w:cs="Arial"/>
          <w:b/>
          <w:bCs/>
          <w:color w:val="000000" w:themeColor="text1"/>
          <w:sz w:val="22"/>
          <w:szCs w:val="22"/>
        </w:rPr>
        <w:t>Timing:</w:t>
      </w:r>
      <w:r w:rsidRPr="14B506C8">
        <w:rPr>
          <w:rFonts w:ascii="Arial" w:eastAsia="Arial" w:hAnsi="Arial" w:cs="Arial"/>
          <w:color w:val="000000" w:themeColor="text1"/>
          <w:sz w:val="22"/>
          <w:szCs w:val="22"/>
        </w:rPr>
        <w:t xml:space="preserve"> Once per month</w:t>
      </w:r>
    </w:p>
    <w:p w14:paraId="1548122E" w14:textId="788CAB26" w:rsidR="5E9D76F5" w:rsidRDefault="5E9D76F5" w:rsidP="14B506C8">
      <w:pPr>
        <w:pStyle w:val="NormalWeb"/>
        <w:spacing w:before="0" w:beforeAutospacing="0" w:after="0" w:afterAutospacing="0"/>
        <w:rPr>
          <w:rFonts w:ascii="Arial" w:eastAsia="Arial" w:hAnsi="Arial" w:cs="Arial"/>
          <w:color w:val="000000" w:themeColor="text1"/>
          <w:sz w:val="22"/>
          <w:szCs w:val="22"/>
        </w:rPr>
      </w:pPr>
      <w:r w:rsidRPr="14B506C8">
        <w:rPr>
          <w:rFonts w:ascii="Arial" w:eastAsia="Arial" w:hAnsi="Arial" w:cs="Arial"/>
          <w:b/>
          <w:bCs/>
          <w:color w:val="000000" w:themeColor="text1"/>
          <w:sz w:val="22"/>
          <w:szCs w:val="22"/>
        </w:rPr>
        <w:t>Cycle:</w:t>
      </w:r>
      <w:r w:rsidRPr="14B506C8">
        <w:rPr>
          <w:rFonts w:ascii="Arial" w:eastAsia="Arial" w:hAnsi="Arial" w:cs="Arial"/>
          <w:color w:val="000000" w:themeColor="text1"/>
          <w:sz w:val="22"/>
          <w:szCs w:val="22"/>
        </w:rPr>
        <w:t xml:space="preserve"> Academic Cycle</w:t>
      </w:r>
    </w:p>
    <w:p w14:paraId="7F9BA8B9" w14:textId="67F2213E" w:rsidR="5E9D76F5" w:rsidRDefault="5E9D76F5" w:rsidP="14B506C8">
      <w:pPr>
        <w:pStyle w:val="NormalWeb"/>
        <w:rPr>
          <w:rFonts w:ascii="Arial" w:eastAsia="Arial" w:hAnsi="Arial" w:cs="Arial"/>
          <w:color w:val="000000" w:themeColor="text1"/>
          <w:sz w:val="22"/>
          <w:szCs w:val="22"/>
        </w:rPr>
      </w:pPr>
      <w:r w:rsidRPr="14B506C8">
        <w:rPr>
          <w:rFonts w:ascii="Arial" w:eastAsia="Arial" w:hAnsi="Arial" w:cs="Arial"/>
          <w:b/>
          <w:bCs/>
          <w:color w:val="000000" w:themeColor="text1"/>
          <w:sz w:val="22"/>
          <w:szCs w:val="22"/>
        </w:rPr>
        <w:t>TERMS OF REFERENCE/FUNCTIONS</w:t>
      </w:r>
      <w:r w:rsidRPr="14B506C8">
        <w:rPr>
          <w:rFonts w:ascii="Arial" w:eastAsia="Arial" w:hAnsi="Arial" w:cs="Arial"/>
          <w:color w:val="000000" w:themeColor="text1"/>
          <w:sz w:val="22"/>
          <w:szCs w:val="22"/>
        </w:rPr>
        <w:t>:</w:t>
      </w:r>
    </w:p>
    <w:p w14:paraId="1B718AF0" w14:textId="6A038B4E" w:rsidR="5E9D76F5" w:rsidRDefault="5E9D76F5" w:rsidP="14B506C8">
      <w:pPr>
        <w:pStyle w:val="NormalWeb"/>
        <w:numPr>
          <w:ilvl w:val="0"/>
          <w:numId w:val="3"/>
        </w:numPr>
        <w:spacing w:before="0" w:beforeAutospacing="0" w:after="0" w:afterAutospacing="0"/>
        <w:ind w:left="426" w:hanging="426"/>
        <w:rPr>
          <w:rFonts w:ascii="Arial" w:eastAsia="Arial" w:hAnsi="Arial" w:cs="Arial"/>
          <w:color w:val="000000" w:themeColor="text1"/>
          <w:sz w:val="22"/>
          <w:szCs w:val="22"/>
        </w:rPr>
      </w:pPr>
      <w:r w:rsidRPr="14B506C8">
        <w:rPr>
          <w:rFonts w:ascii="Arial" w:eastAsia="Arial" w:hAnsi="Arial" w:cs="Arial"/>
          <w:color w:val="000000" w:themeColor="text1"/>
          <w:sz w:val="22"/>
          <w:szCs w:val="22"/>
        </w:rPr>
        <w:t>To review and evaluate new course proposals on the basis of the quality of the materials contained in the validation submission documentation, and where required responses from the faculty to queries raised by the Panel, as specified in Section C of the Academic Quality and Standards Handbook.</w:t>
      </w:r>
    </w:p>
    <w:p w14:paraId="28562482" w14:textId="4601314E" w:rsidR="14B506C8" w:rsidRDefault="14B506C8" w:rsidP="14B506C8">
      <w:pPr>
        <w:spacing w:after="0" w:line="240" w:lineRule="auto"/>
        <w:ind w:left="720"/>
        <w:rPr>
          <w:rFonts w:ascii="Arial" w:eastAsia="Arial" w:hAnsi="Arial" w:cs="Arial"/>
          <w:color w:val="000000" w:themeColor="text1"/>
        </w:rPr>
      </w:pPr>
    </w:p>
    <w:p w14:paraId="50194848" w14:textId="1D61272F" w:rsidR="5E9D76F5" w:rsidRDefault="5E9D76F5" w:rsidP="14B506C8">
      <w:pPr>
        <w:pStyle w:val="NormalWeb"/>
        <w:numPr>
          <w:ilvl w:val="0"/>
          <w:numId w:val="3"/>
        </w:numPr>
        <w:spacing w:before="0" w:beforeAutospacing="0" w:after="0" w:afterAutospacing="0"/>
        <w:ind w:left="426" w:hanging="426"/>
        <w:rPr>
          <w:rFonts w:ascii="Arial" w:eastAsia="Arial" w:hAnsi="Arial" w:cs="Arial"/>
          <w:color w:val="000000" w:themeColor="text1"/>
          <w:sz w:val="22"/>
          <w:szCs w:val="22"/>
        </w:rPr>
      </w:pPr>
      <w:r w:rsidRPr="14B506C8">
        <w:rPr>
          <w:rFonts w:ascii="Arial" w:eastAsia="Arial" w:hAnsi="Arial" w:cs="Arial"/>
          <w:color w:val="000000" w:themeColor="text1"/>
          <w:sz w:val="22"/>
          <w:szCs w:val="22"/>
        </w:rPr>
        <w:t>To test each course proposal against its potential to meet the high-quality threshold set for validation, which includes:</w:t>
      </w:r>
    </w:p>
    <w:p w14:paraId="2646604A" w14:textId="0B063DD0" w:rsidR="14B506C8" w:rsidRDefault="14B506C8" w:rsidP="14B506C8">
      <w:pPr>
        <w:spacing w:after="0" w:line="240" w:lineRule="auto"/>
        <w:ind w:left="720"/>
        <w:rPr>
          <w:rFonts w:ascii="Arial" w:eastAsia="Arial" w:hAnsi="Arial" w:cs="Arial"/>
          <w:color w:val="000000" w:themeColor="text1"/>
        </w:rPr>
      </w:pPr>
    </w:p>
    <w:p w14:paraId="1F1F076F" w14:textId="4A809EF2" w:rsidR="5E9D76F5" w:rsidRDefault="5E9D76F5" w:rsidP="14B506C8">
      <w:pPr>
        <w:pStyle w:val="NormalWeb"/>
        <w:numPr>
          <w:ilvl w:val="1"/>
          <w:numId w:val="3"/>
        </w:numPr>
        <w:spacing w:before="0" w:beforeAutospacing="0" w:after="0" w:afterAutospacing="0"/>
        <w:rPr>
          <w:rFonts w:ascii="Arial" w:eastAsia="Arial" w:hAnsi="Arial" w:cs="Arial"/>
          <w:color w:val="000000" w:themeColor="text1"/>
          <w:sz w:val="22"/>
          <w:szCs w:val="22"/>
        </w:rPr>
      </w:pPr>
      <w:r w:rsidRPr="14B506C8">
        <w:rPr>
          <w:rFonts w:ascii="Arial" w:eastAsia="Arial" w:hAnsi="Arial" w:cs="Arial"/>
          <w:color w:val="000000" w:themeColor="text1"/>
          <w:sz w:val="22"/>
          <w:szCs w:val="22"/>
        </w:rPr>
        <w:t>Alignment to the University’s Academic Framework</w:t>
      </w:r>
    </w:p>
    <w:p w14:paraId="12A15F43" w14:textId="6CF67EB4" w:rsidR="5E9D76F5" w:rsidRDefault="5E9D76F5" w:rsidP="14B506C8">
      <w:pPr>
        <w:pStyle w:val="NormalWeb"/>
        <w:numPr>
          <w:ilvl w:val="1"/>
          <w:numId w:val="3"/>
        </w:numPr>
        <w:spacing w:before="0" w:beforeAutospacing="0" w:after="0" w:afterAutospacing="0"/>
        <w:rPr>
          <w:rFonts w:ascii="Arial" w:eastAsia="Arial" w:hAnsi="Arial" w:cs="Arial"/>
          <w:color w:val="000000" w:themeColor="text1"/>
          <w:sz w:val="22"/>
          <w:szCs w:val="22"/>
        </w:rPr>
      </w:pPr>
      <w:r w:rsidRPr="14B506C8">
        <w:rPr>
          <w:rFonts w:ascii="Arial" w:eastAsia="Arial" w:hAnsi="Arial" w:cs="Arial"/>
          <w:color w:val="000000" w:themeColor="text1"/>
          <w:sz w:val="22"/>
          <w:szCs w:val="22"/>
        </w:rPr>
        <w:t>Alignment to the University’s relevant policies and regulations</w:t>
      </w:r>
    </w:p>
    <w:p w14:paraId="5B7FB6E2" w14:textId="2312C917" w:rsidR="5E9D76F5" w:rsidRDefault="5E9D76F5" w:rsidP="14B506C8">
      <w:pPr>
        <w:pStyle w:val="NormalWeb"/>
        <w:numPr>
          <w:ilvl w:val="1"/>
          <w:numId w:val="3"/>
        </w:numPr>
        <w:spacing w:before="0" w:beforeAutospacing="0" w:after="0" w:afterAutospacing="0"/>
        <w:rPr>
          <w:rFonts w:ascii="Arial" w:eastAsia="Arial" w:hAnsi="Arial" w:cs="Arial"/>
          <w:color w:val="000000" w:themeColor="text1"/>
        </w:rPr>
      </w:pPr>
      <w:r w:rsidRPr="14B506C8">
        <w:rPr>
          <w:rFonts w:ascii="Arial" w:eastAsia="Arial" w:hAnsi="Arial" w:cs="Arial"/>
          <w:color w:val="000000" w:themeColor="text1"/>
          <w:sz w:val="22"/>
          <w:szCs w:val="22"/>
        </w:rPr>
        <w:t xml:space="preserve">Supporting the University in complying with the Office for Students’ general and </w:t>
      </w:r>
      <w:hyperlink r:id="rId11">
        <w:r w:rsidRPr="14B506C8">
          <w:rPr>
            <w:rStyle w:val="Hyperlink"/>
            <w:rFonts w:ascii="Arial" w:eastAsia="Arial" w:hAnsi="Arial" w:cs="Arial"/>
            <w:sz w:val="22"/>
            <w:szCs w:val="22"/>
          </w:rPr>
          <w:t>ongoing conditions of regulations for Quality and Standards</w:t>
        </w:r>
      </w:hyperlink>
    </w:p>
    <w:p w14:paraId="1108B071" w14:textId="3C21FB28" w:rsidR="14B506C8" w:rsidRDefault="14B506C8" w:rsidP="14B506C8">
      <w:pPr>
        <w:spacing w:after="0" w:line="240" w:lineRule="auto"/>
        <w:ind w:left="1440"/>
        <w:rPr>
          <w:rFonts w:ascii="Arial" w:eastAsia="Arial" w:hAnsi="Arial" w:cs="Arial"/>
          <w:color w:val="000000" w:themeColor="text1"/>
          <w:sz w:val="24"/>
          <w:szCs w:val="24"/>
        </w:rPr>
      </w:pPr>
    </w:p>
    <w:p w14:paraId="2179928E" w14:textId="16D74771" w:rsidR="5E9D76F5" w:rsidRDefault="5E9D76F5" w:rsidP="14B506C8">
      <w:pPr>
        <w:pStyle w:val="NormalWeb"/>
        <w:numPr>
          <w:ilvl w:val="0"/>
          <w:numId w:val="3"/>
        </w:numPr>
        <w:spacing w:before="0" w:beforeAutospacing="0" w:after="0" w:afterAutospacing="0"/>
        <w:ind w:left="426" w:hanging="426"/>
        <w:rPr>
          <w:rFonts w:ascii="Arial" w:eastAsia="Arial" w:hAnsi="Arial" w:cs="Arial"/>
          <w:color w:val="000000" w:themeColor="text1"/>
          <w:sz w:val="22"/>
          <w:szCs w:val="22"/>
        </w:rPr>
      </w:pPr>
      <w:r w:rsidRPr="14B506C8">
        <w:rPr>
          <w:rFonts w:ascii="Arial" w:eastAsia="Arial" w:hAnsi="Arial" w:cs="Arial"/>
          <w:color w:val="000000" w:themeColor="text1"/>
          <w:sz w:val="22"/>
          <w:szCs w:val="22"/>
        </w:rPr>
        <w:t>To ensure that the expertise of RISERs and external academic and industry consultants has been sought and acted on appropriately in the course development process, in determining the outcomes of each proposal.</w:t>
      </w:r>
    </w:p>
    <w:p w14:paraId="7E65F547" w14:textId="21154B9C" w:rsidR="14B506C8" w:rsidRDefault="14B506C8" w:rsidP="14B506C8">
      <w:pPr>
        <w:spacing w:after="0" w:line="240" w:lineRule="auto"/>
        <w:ind w:left="426"/>
        <w:rPr>
          <w:rFonts w:ascii="Arial" w:eastAsia="Arial" w:hAnsi="Arial" w:cs="Arial"/>
          <w:color w:val="000000" w:themeColor="text1"/>
        </w:rPr>
      </w:pPr>
    </w:p>
    <w:p w14:paraId="4AB63E33" w14:textId="68D68B8A" w:rsidR="5E9D76F5" w:rsidRDefault="5E9D76F5" w:rsidP="14B506C8">
      <w:pPr>
        <w:pStyle w:val="NormalWeb"/>
        <w:numPr>
          <w:ilvl w:val="0"/>
          <w:numId w:val="3"/>
        </w:numPr>
        <w:spacing w:before="0" w:beforeAutospacing="0" w:after="0" w:afterAutospacing="0"/>
        <w:ind w:left="426" w:hanging="426"/>
        <w:rPr>
          <w:rFonts w:ascii="Arial" w:eastAsia="Arial" w:hAnsi="Arial" w:cs="Arial"/>
          <w:color w:val="000000" w:themeColor="text1"/>
          <w:sz w:val="22"/>
          <w:szCs w:val="22"/>
        </w:rPr>
      </w:pPr>
      <w:r w:rsidRPr="14B506C8">
        <w:rPr>
          <w:rFonts w:ascii="Arial" w:eastAsia="Arial" w:hAnsi="Arial" w:cs="Arial"/>
          <w:color w:val="000000" w:themeColor="text1"/>
          <w:sz w:val="22"/>
          <w:szCs w:val="22"/>
        </w:rPr>
        <w:t xml:space="preserve">To confirm the validation outcome of each proposal, from the options listed in Section C of the Academic Quality and Standards Handbook. </w:t>
      </w:r>
    </w:p>
    <w:p w14:paraId="3FE92766" w14:textId="7748CB95" w:rsidR="14B506C8" w:rsidRDefault="14B506C8" w:rsidP="14B506C8">
      <w:pPr>
        <w:spacing w:after="0" w:line="240" w:lineRule="auto"/>
        <w:ind w:left="720"/>
        <w:rPr>
          <w:rFonts w:ascii="Arial" w:eastAsia="Arial" w:hAnsi="Arial" w:cs="Arial"/>
          <w:color w:val="000000" w:themeColor="text1"/>
        </w:rPr>
      </w:pPr>
    </w:p>
    <w:p w14:paraId="35A73A28" w14:textId="36FC8119" w:rsidR="5E9D76F5" w:rsidRDefault="5E9D76F5" w:rsidP="14B506C8">
      <w:pPr>
        <w:pStyle w:val="NormalWeb"/>
        <w:numPr>
          <w:ilvl w:val="0"/>
          <w:numId w:val="3"/>
        </w:numPr>
        <w:spacing w:before="0" w:beforeAutospacing="0" w:after="0" w:afterAutospacing="0"/>
        <w:ind w:left="426" w:hanging="426"/>
        <w:rPr>
          <w:rFonts w:ascii="Arial" w:eastAsia="Arial" w:hAnsi="Arial" w:cs="Arial"/>
          <w:color w:val="000000" w:themeColor="text1"/>
          <w:sz w:val="22"/>
          <w:szCs w:val="22"/>
        </w:rPr>
      </w:pPr>
      <w:r w:rsidRPr="14B506C8">
        <w:rPr>
          <w:rFonts w:ascii="Arial" w:eastAsia="Arial" w:hAnsi="Arial" w:cs="Arial"/>
          <w:color w:val="000000" w:themeColor="text1"/>
          <w:sz w:val="22"/>
          <w:szCs w:val="22"/>
        </w:rPr>
        <w:t>To capture evidence of good practice.</w:t>
      </w:r>
    </w:p>
    <w:p w14:paraId="256A12AC" w14:textId="2DCB4416" w:rsidR="14B506C8" w:rsidRDefault="14B506C8" w:rsidP="14B506C8">
      <w:pPr>
        <w:spacing w:after="0" w:line="240" w:lineRule="auto"/>
        <w:rPr>
          <w:rFonts w:ascii="Helvetica" w:eastAsia="Helvetica" w:hAnsi="Helvetica" w:cs="Helvetica"/>
          <w:color w:val="FF0000"/>
          <w:sz w:val="24"/>
          <w:szCs w:val="24"/>
        </w:rPr>
      </w:pPr>
    </w:p>
    <w:p w14:paraId="7E5B6C03" w14:textId="5ED92C25" w:rsidR="5E9D76F5" w:rsidRDefault="5E9D76F5" w:rsidP="14B506C8">
      <w:pPr>
        <w:pStyle w:val="NormalWeb"/>
        <w:spacing w:before="0" w:beforeAutospacing="0" w:after="0" w:afterAutospacing="0"/>
        <w:rPr>
          <w:rFonts w:ascii="Arial" w:eastAsia="Arial" w:hAnsi="Arial" w:cs="Arial"/>
          <w:color w:val="000000" w:themeColor="text1"/>
          <w:sz w:val="22"/>
          <w:szCs w:val="22"/>
        </w:rPr>
      </w:pPr>
      <w:r w:rsidRPr="14B506C8">
        <w:rPr>
          <w:rFonts w:ascii="Arial" w:eastAsia="Arial" w:hAnsi="Arial" w:cs="Arial"/>
          <w:b/>
          <w:bCs/>
          <w:color w:val="000000" w:themeColor="text1"/>
          <w:sz w:val="22"/>
          <w:szCs w:val="22"/>
        </w:rPr>
        <w:t>MEMBERSHIP:</w:t>
      </w:r>
    </w:p>
    <w:p w14:paraId="3BC787EE" w14:textId="29C6A717" w:rsidR="5E9D76F5" w:rsidRDefault="5E9D76F5" w:rsidP="14B506C8">
      <w:pPr>
        <w:pStyle w:val="NormalWeb"/>
        <w:numPr>
          <w:ilvl w:val="0"/>
          <w:numId w:val="2"/>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 xml:space="preserve">Pro Vice-Chancellor Education (Chair) </w:t>
      </w:r>
    </w:p>
    <w:p w14:paraId="14472F80" w14:textId="22AE7464" w:rsidR="5E9D76F5" w:rsidRDefault="5E9D76F5" w:rsidP="14B506C8">
      <w:pPr>
        <w:pStyle w:val="NormalWeb"/>
        <w:numPr>
          <w:ilvl w:val="0"/>
          <w:numId w:val="2"/>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Deputy Deans (1 from each faculty)</w:t>
      </w:r>
    </w:p>
    <w:p w14:paraId="52CED524" w14:textId="0A6F36AD" w:rsidR="5E9D76F5" w:rsidRDefault="5E9D76F5" w:rsidP="14B506C8">
      <w:pPr>
        <w:pStyle w:val="NormalWeb"/>
        <w:numPr>
          <w:ilvl w:val="0"/>
          <w:numId w:val="2"/>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Head of Quality Assurance and Enhancement (QAE)</w:t>
      </w:r>
    </w:p>
    <w:p w14:paraId="78EF350B" w14:textId="3A24E853" w:rsidR="5E9D76F5" w:rsidRDefault="5E9D76F5" w:rsidP="14B506C8">
      <w:pPr>
        <w:pStyle w:val="NormalWeb"/>
        <w:numPr>
          <w:ilvl w:val="0"/>
          <w:numId w:val="2"/>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Academic Registrar (Regulations, Assessment &amp; Student Casework)</w:t>
      </w:r>
    </w:p>
    <w:p w14:paraId="4EAA6270" w14:textId="3618E1AE" w:rsidR="5E9D76F5" w:rsidRDefault="5E9D76F5" w:rsidP="14B506C8">
      <w:pPr>
        <w:pStyle w:val="NormalWeb"/>
        <w:numPr>
          <w:ilvl w:val="0"/>
          <w:numId w:val="2"/>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 xml:space="preserve">Deputy Head of QAE </w:t>
      </w:r>
    </w:p>
    <w:p w14:paraId="4B57DF05" w14:textId="55DF7E8A" w:rsidR="5E9D76F5" w:rsidRDefault="5E9D76F5" w:rsidP="14B506C8">
      <w:pPr>
        <w:pStyle w:val="NormalWeb"/>
        <w:numPr>
          <w:ilvl w:val="0"/>
          <w:numId w:val="2"/>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School Directors of Learning &amp; Teaching (1 from each faculty, nominated by the Deputy Deans)</w:t>
      </w:r>
    </w:p>
    <w:p w14:paraId="58BEEEC4" w14:textId="27BDF141" w:rsidR="5E9D76F5" w:rsidRDefault="5E9D76F5" w:rsidP="14B506C8">
      <w:pPr>
        <w:pStyle w:val="NormalWeb"/>
        <w:numPr>
          <w:ilvl w:val="0"/>
          <w:numId w:val="2"/>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Allocated Lead Reviewer(s) (Academic) for the proposal(s) being considered (1 for each proposal being considered at the meeting)</w:t>
      </w:r>
    </w:p>
    <w:p w14:paraId="1B15A1ED" w14:textId="432FEF49" w:rsidR="5E9D76F5" w:rsidRDefault="5E9D76F5" w:rsidP="14B506C8">
      <w:pPr>
        <w:pStyle w:val="NormalWeb"/>
        <w:numPr>
          <w:ilvl w:val="0"/>
          <w:numId w:val="2"/>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Allocated Lead Reviewer(s) (Professional Services) for the proposal(s) being considered (1 for each proposal being considered at the meeting)</w:t>
      </w:r>
    </w:p>
    <w:p w14:paraId="708B9FB6" w14:textId="72A1EF84" w:rsidR="5E9D76F5" w:rsidRDefault="5E9D76F5" w:rsidP="14B506C8">
      <w:pPr>
        <w:pStyle w:val="NormalWeb"/>
        <w:numPr>
          <w:ilvl w:val="0"/>
          <w:numId w:val="2"/>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QAE Assistant Registrar (Clerk)</w:t>
      </w:r>
    </w:p>
    <w:p w14:paraId="5FD63FD1" w14:textId="3059F25A" w:rsidR="14B506C8" w:rsidRDefault="14B506C8" w:rsidP="14B506C8">
      <w:pPr>
        <w:spacing w:after="0" w:line="240" w:lineRule="auto"/>
        <w:rPr>
          <w:rFonts w:ascii="Arial" w:eastAsia="Arial" w:hAnsi="Arial" w:cs="Arial"/>
          <w:color w:val="FF0000"/>
        </w:rPr>
      </w:pPr>
    </w:p>
    <w:p w14:paraId="1F03C079" w14:textId="32FF7DFF" w:rsidR="5E9D76F5" w:rsidRDefault="5E9D76F5" w:rsidP="14B506C8">
      <w:pPr>
        <w:pStyle w:val="NormalWeb"/>
        <w:spacing w:before="0" w:beforeAutospacing="0" w:after="0" w:afterAutospacing="0"/>
        <w:rPr>
          <w:rFonts w:ascii="Arial" w:eastAsia="Arial" w:hAnsi="Arial" w:cs="Arial"/>
          <w:color w:val="000000" w:themeColor="text1"/>
          <w:sz w:val="22"/>
          <w:szCs w:val="22"/>
        </w:rPr>
      </w:pPr>
      <w:r w:rsidRPr="14B506C8">
        <w:rPr>
          <w:rFonts w:ascii="Arial" w:eastAsia="Arial" w:hAnsi="Arial" w:cs="Arial"/>
          <w:b/>
          <w:bCs/>
          <w:color w:val="000000" w:themeColor="text1"/>
          <w:sz w:val="22"/>
          <w:szCs w:val="22"/>
        </w:rPr>
        <w:t>In attendance:</w:t>
      </w:r>
    </w:p>
    <w:p w14:paraId="2D05AF67" w14:textId="1AD48709" w:rsidR="5E9D76F5" w:rsidRDefault="5E9D76F5" w:rsidP="14B506C8">
      <w:pPr>
        <w:pStyle w:val="NormalWeb"/>
        <w:numPr>
          <w:ilvl w:val="0"/>
          <w:numId w:val="1"/>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QAE Assistant Registrars</w:t>
      </w:r>
    </w:p>
    <w:p w14:paraId="4432F23A" w14:textId="659EB65C" w:rsidR="5E9D76F5" w:rsidRDefault="5E9D76F5" w:rsidP="14B506C8">
      <w:pPr>
        <w:pStyle w:val="NormalWeb"/>
        <w:numPr>
          <w:ilvl w:val="0"/>
          <w:numId w:val="1"/>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QAE Senior Assistant Registrar</w:t>
      </w:r>
    </w:p>
    <w:p w14:paraId="02C71384" w14:textId="479C5DD6" w:rsidR="5E9D76F5" w:rsidRDefault="5E9D76F5" w:rsidP="14B506C8">
      <w:pPr>
        <w:pStyle w:val="NormalWeb"/>
        <w:numPr>
          <w:ilvl w:val="0"/>
          <w:numId w:val="1"/>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Senior Academic Project Manager</w:t>
      </w:r>
    </w:p>
    <w:p w14:paraId="4331CBA4" w14:textId="548BF499" w:rsidR="5E9D76F5" w:rsidRDefault="5E9D76F5" w:rsidP="14B506C8">
      <w:pPr>
        <w:pStyle w:val="NormalWeb"/>
        <w:numPr>
          <w:ilvl w:val="0"/>
          <w:numId w:val="1"/>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Validation event chairs</w:t>
      </w:r>
    </w:p>
    <w:p w14:paraId="268DBCE5" w14:textId="5F7ADF1A" w:rsidR="5E9D76F5" w:rsidRDefault="5E9D76F5" w:rsidP="14B506C8">
      <w:pPr>
        <w:pStyle w:val="NormalWeb"/>
        <w:numPr>
          <w:ilvl w:val="0"/>
          <w:numId w:val="1"/>
        </w:numPr>
        <w:spacing w:before="0" w:beforeAutospacing="0" w:after="0" w:afterAutospacing="0"/>
        <w:ind w:left="284" w:hanging="284"/>
        <w:rPr>
          <w:rFonts w:ascii="Arial" w:eastAsia="Arial" w:hAnsi="Arial" w:cs="Arial"/>
          <w:color w:val="000000" w:themeColor="text1"/>
          <w:sz w:val="22"/>
          <w:szCs w:val="22"/>
        </w:rPr>
      </w:pPr>
      <w:r w:rsidRPr="14B506C8">
        <w:rPr>
          <w:rFonts w:ascii="Arial" w:eastAsia="Arial" w:hAnsi="Arial" w:cs="Arial"/>
          <w:color w:val="000000" w:themeColor="text1"/>
          <w:sz w:val="22"/>
          <w:szCs w:val="22"/>
        </w:rPr>
        <w:t xml:space="preserve">Other members of professional or academic staff may be invited to attend as required by the </w:t>
      </w:r>
      <w:proofErr w:type="gramStart"/>
      <w:r w:rsidRPr="14B506C8">
        <w:rPr>
          <w:rFonts w:ascii="Arial" w:eastAsia="Arial" w:hAnsi="Arial" w:cs="Arial"/>
          <w:color w:val="000000" w:themeColor="text1"/>
          <w:sz w:val="22"/>
          <w:szCs w:val="22"/>
        </w:rPr>
        <w:t>agenda</w:t>
      </w:r>
      <w:proofErr w:type="gramEnd"/>
    </w:p>
    <w:p w14:paraId="4176A0E4" w14:textId="52D1BF10" w:rsidR="14B506C8" w:rsidRDefault="14B506C8" w:rsidP="14B506C8">
      <w:pPr>
        <w:spacing w:after="0" w:line="240" w:lineRule="auto"/>
        <w:rPr>
          <w:rFonts w:ascii="Arial" w:eastAsia="Arial" w:hAnsi="Arial" w:cs="Arial"/>
          <w:color w:val="000000" w:themeColor="text1"/>
        </w:rPr>
      </w:pPr>
    </w:p>
    <w:p w14:paraId="660BA1F8" w14:textId="594577BB" w:rsidR="5E9D76F5" w:rsidRDefault="5E9D76F5" w:rsidP="14B506C8">
      <w:pPr>
        <w:pStyle w:val="NormalWeb"/>
        <w:rPr>
          <w:rFonts w:ascii="Arial" w:eastAsia="Arial" w:hAnsi="Arial" w:cs="Arial"/>
          <w:color w:val="000000" w:themeColor="text1"/>
          <w:sz w:val="22"/>
          <w:szCs w:val="22"/>
        </w:rPr>
      </w:pPr>
      <w:r w:rsidRPr="14B506C8">
        <w:rPr>
          <w:rFonts w:ascii="Arial" w:eastAsia="Arial" w:hAnsi="Arial" w:cs="Arial"/>
          <w:b/>
          <w:bCs/>
          <w:color w:val="000000" w:themeColor="text1"/>
          <w:sz w:val="22"/>
          <w:szCs w:val="22"/>
        </w:rPr>
        <w:t>QUORACY:</w:t>
      </w:r>
    </w:p>
    <w:p w14:paraId="69EE8D10" w14:textId="509FABB6" w:rsidR="5E9D76F5" w:rsidRDefault="5E9D76F5" w:rsidP="14B506C8">
      <w:pPr>
        <w:pStyle w:val="NormalWeb"/>
        <w:rPr>
          <w:rFonts w:ascii="Arial" w:eastAsia="Arial" w:hAnsi="Arial" w:cs="Arial"/>
          <w:color w:val="000000" w:themeColor="text1"/>
          <w:sz w:val="22"/>
          <w:szCs w:val="22"/>
        </w:rPr>
      </w:pPr>
      <w:r w:rsidRPr="14B506C8">
        <w:rPr>
          <w:rFonts w:ascii="Arial" w:eastAsia="Arial" w:hAnsi="Arial" w:cs="Arial"/>
          <w:color w:val="000000" w:themeColor="text1"/>
          <w:sz w:val="22"/>
          <w:szCs w:val="22"/>
        </w:rPr>
        <w:t xml:space="preserve">The meeting shall be quorate if, within twenty minutes of the published start time of the meeting, at least 50% of the members are present, to include: the Chair, the allocated lead reviewers (academic and professional services) for each proposal being considered, at least one Deputy Dean, at least one School Director of Learning and Teaching. </w:t>
      </w:r>
    </w:p>
    <w:p w14:paraId="723509BD" w14:textId="36803EBE" w:rsidR="5E9D76F5" w:rsidRDefault="5E9D76F5" w:rsidP="14B506C8">
      <w:pPr>
        <w:pStyle w:val="NormalWeb"/>
        <w:rPr>
          <w:rFonts w:ascii="Arial" w:eastAsia="Arial" w:hAnsi="Arial" w:cs="Arial"/>
          <w:color w:val="000000" w:themeColor="text1"/>
          <w:sz w:val="22"/>
          <w:szCs w:val="22"/>
        </w:rPr>
      </w:pPr>
      <w:r w:rsidRPr="14B506C8">
        <w:rPr>
          <w:rFonts w:ascii="Arial" w:eastAsia="Arial" w:hAnsi="Arial" w:cs="Arial"/>
          <w:color w:val="000000" w:themeColor="text1"/>
          <w:sz w:val="22"/>
          <w:szCs w:val="22"/>
        </w:rPr>
        <w:t xml:space="preserve">If a quorum is not present after twenty minutes, the meeting shall stand adjourned and a special meeting shall be summoned as soon as reasonably practicable. Alternatively, the Chair can continue proceedings on an informal basis. In the event that the meeting proceeds on an informal basis, any decisions taken will be circulated to the full membership via email for ratification as soon as possible after the meeting. Any members who do not respond by the deadline (10 working days after receipt of the email) will be deemed to be assenting to the decision made. </w:t>
      </w:r>
    </w:p>
    <w:p w14:paraId="6846C6E5" w14:textId="2DD6ED54" w:rsidR="5E9D76F5" w:rsidRDefault="5E9D76F5" w:rsidP="14B506C8">
      <w:pPr>
        <w:pStyle w:val="NormalWeb"/>
        <w:rPr>
          <w:rFonts w:ascii="Arial" w:eastAsia="Arial" w:hAnsi="Arial" w:cs="Arial"/>
          <w:color w:val="000000" w:themeColor="text1"/>
          <w:sz w:val="22"/>
          <w:szCs w:val="22"/>
        </w:rPr>
      </w:pPr>
      <w:r w:rsidRPr="14B506C8">
        <w:rPr>
          <w:rFonts w:ascii="Arial" w:eastAsia="Arial" w:hAnsi="Arial" w:cs="Arial"/>
          <w:color w:val="000000" w:themeColor="text1"/>
          <w:sz w:val="22"/>
          <w:szCs w:val="22"/>
        </w:rPr>
        <w:t>Where members are unable to attend a meeting, they should inform the Clerk and nominate an alternative representative to attend in their place. If a member fails to attend two or more meetings within an academic year, this will be flagged to the Chair.</w:t>
      </w:r>
    </w:p>
    <w:p w14:paraId="4C2E4685" w14:textId="59F10A10" w:rsidR="5E9D76F5" w:rsidRDefault="5E9D76F5" w:rsidP="14B506C8">
      <w:pPr>
        <w:pStyle w:val="NormalWeb"/>
        <w:rPr>
          <w:rFonts w:ascii="Arial" w:eastAsia="Arial" w:hAnsi="Arial" w:cs="Arial"/>
          <w:color w:val="000000" w:themeColor="text1"/>
          <w:sz w:val="22"/>
          <w:szCs w:val="22"/>
        </w:rPr>
      </w:pPr>
      <w:r w:rsidRPr="14B506C8">
        <w:rPr>
          <w:rFonts w:ascii="Arial" w:eastAsia="Arial" w:hAnsi="Arial" w:cs="Arial"/>
          <w:color w:val="000000" w:themeColor="text1"/>
          <w:sz w:val="22"/>
          <w:szCs w:val="22"/>
        </w:rPr>
        <w:t xml:space="preserve">The full Rules and Procedures are available at: </w:t>
      </w:r>
      <w:hyperlink r:id="rId12">
        <w:r w:rsidRPr="14B506C8">
          <w:rPr>
            <w:rStyle w:val="Hyperlink"/>
            <w:rFonts w:ascii="Arial" w:eastAsia="Arial" w:hAnsi="Arial" w:cs="Arial"/>
            <w:sz w:val="22"/>
            <w:szCs w:val="22"/>
          </w:rPr>
          <w:t>Committee (sharepoint.com)</w:t>
        </w:r>
      </w:hyperlink>
    </w:p>
    <w:p w14:paraId="3767B7FA" w14:textId="2E9B1955" w:rsidR="14B506C8" w:rsidRDefault="14B506C8" w:rsidP="14B506C8">
      <w:pPr>
        <w:pStyle w:val="NormalWeb"/>
        <w:rPr>
          <w:rFonts w:ascii="Arial" w:hAnsi="Arial" w:cs="Arial"/>
          <w:sz w:val="22"/>
          <w:szCs w:val="22"/>
        </w:rPr>
      </w:pPr>
    </w:p>
    <w:sectPr w:rsidR="14B506C8">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17C3B" w14:textId="77777777" w:rsidR="00723505" w:rsidRDefault="00723505" w:rsidP="005D2740">
      <w:pPr>
        <w:spacing w:after="0" w:line="240" w:lineRule="auto"/>
      </w:pPr>
      <w:r>
        <w:separator/>
      </w:r>
    </w:p>
  </w:endnote>
  <w:endnote w:type="continuationSeparator" w:id="0">
    <w:p w14:paraId="56E8037B" w14:textId="77777777" w:rsidR="00723505" w:rsidRDefault="00723505" w:rsidP="005D2740">
      <w:pPr>
        <w:spacing w:after="0" w:line="240" w:lineRule="auto"/>
      </w:pPr>
      <w:r>
        <w:continuationSeparator/>
      </w:r>
    </w:p>
  </w:endnote>
  <w:endnote w:type="continuationNotice" w:id="1">
    <w:p w14:paraId="60190C1F" w14:textId="77777777" w:rsidR="00723505" w:rsidRDefault="007235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35494" w14:textId="595E6CA5" w:rsidR="002320E0" w:rsidRPr="002320E0" w:rsidRDefault="14B506C8" w:rsidP="002320E0">
    <w:pPr>
      <w:pStyle w:val="Footer"/>
      <w:tabs>
        <w:tab w:val="center" w:pos="7513"/>
      </w:tabs>
      <w:rPr>
        <w:rFonts w:ascii="Arial" w:hAnsi="Arial" w:cs="Arial"/>
        <w:sz w:val="18"/>
        <w:szCs w:val="18"/>
      </w:rPr>
    </w:pPr>
    <w:r w:rsidRPr="14B506C8">
      <w:rPr>
        <w:rFonts w:ascii="Arial" w:hAnsi="Arial" w:cs="Arial"/>
        <w:sz w:val="18"/>
        <w:szCs w:val="18"/>
      </w:rPr>
      <w:t>AQSH: OG (xvii)</w:t>
    </w:r>
    <w:r w:rsidR="02CAADF3">
      <w:tab/>
    </w:r>
    <w:r w:rsidRPr="14B506C8">
      <w:rPr>
        <w:rFonts w:ascii="Arial" w:hAnsi="Arial" w:cs="Arial"/>
        <w:sz w:val="18"/>
        <w:szCs w:val="18"/>
      </w:rPr>
      <w:t xml:space="preserve">                                                   2025-26                                                       Page </w:t>
    </w:r>
    <w:r w:rsidR="02CAADF3" w:rsidRPr="14B506C8">
      <w:rPr>
        <w:rFonts w:ascii="Arial" w:hAnsi="Arial" w:cs="Arial"/>
        <w:b/>
        <w:bCs/>
        <w:sz w:val="18"/>
        <w:szCs w:val="18"/>
      </w:rPr>
      <w:fldChar w:fldCharType="begin"/>
    </w:r>
    <w:r w:rsidR="02CAADF3" w:rsidRPr="14B506C8">
      <w:rPr>
        <w:rFonts w:ascii="Arial" w:hAnsi="Arial" w:cs="Arial"/>
        <w:b/>
        <w:bCs/>
        <w:sz w:val="18"/>
        <w:szCs w:val="18"/>
      </w:rPr>
      <w:instrText xml:space="preserve"> PAGE </w:instrText>
    </w:r>
    <w:r w:rsidR="02CAADF3" w:rsidRPr="14B506C8">
      <w:rPr>
        <w:rFonts w:ascii="Arial" w:hAnsi="Arial" w:cs="Arial"/>
        <w:b/>
        <w:bCs/>
        <w:sz w:val="18"/>
        <w:szCs w:val="18"/>
      </w:rPr>
      <w:fldChar w:fldCharType="separate"/>
    </w:r>
    <w:r w:rsidRPr="14B506C8">
      <w:rPr>
        <w:rFonts w:ascii="Arial" w:hAnsi="Arial" w:cs="Arial"/>
        <w:b/>
        <w:bCs/>
        <w:sz w:val="18"/>
        <w:szCs w:val="18"/>
      </w:rPr>
      <w:t>1</w:t>
    </w:r>
    <w:r w:rsidR="02CAADF3" w:rsidRPr="14B506C8">
      <w:rPr>
        <w:rFonts w:ascii="Arial" w:hAnsi="Arial" w:cs="Arial"/>
        <w:b/>
        <w:bCs/>
        <w:sz w:val="18"/>
        <w:szCs w:val="18"/>
      </w:rPr>
      <w:fldChar w:fldCharType="end"/>
    </w:r>
    <w:r w:rsidRPr="14B506C8">
      <w:rPr>
        <w:rFonts w:ascii="Arial" w:hAnsi="Arial" w:cs="Arial"/>
        <w:sz w:val="18"/>
        <w:szCs w:val="18"/>
      </w:rPr>
      <w:t xml:space="preserve"> of </w:t>
    </w:r>
    <w:r w:rsidR="02CAADF3" w:rsidRPr="14B506C8">
      <w:rPr>
        <w:rFonts w:ascii="Arial" w:hAnsi="Arial" w:cs="Arial"/>
        <w:b/>
        <w:bCs/>
        <w:sz w:val="18"/>
        <w:szCs w:val="18"/>
      </w:rPr>
      <w:fldChar w:fldCharType="begin"/>
    </w:r>
    <w:r w:rsidR="02CAADF3" w:rsidRPr="14B506C8">
      <w:rPr>
        <w:rFonts w:ascii="Arial" w:hAnsi="Arial" w:cs="Arial"/>
        <w:b/>
        <w:bCs/>
        <w:sz w:val="18"/>
        <w:szCs w:val="18"/>
      </w:rPr>
      <w:instrText xml:space="preserve"> NUMPAGES  </w:instrText>
    </w:r>
    <w:r w:rsidR="02CAADF3" w:rsidRPr="14B506C8">
      <w:rPr>
        <w:rFonts w:ascii="Arial" w:hAnsi="Arial" w:cs="Arial"/>
        <w:b/>
        <w:bCs/>
        <w:sz w:val="18"/>
        <w:szCs w:val="18"/>
      </w:rPr>
      <w:fldChar w:fldCharType="separate"/>
    </w:r>
    <w:r w:rsidRPr="14B506C8">
      <w:rPr>
        <w:rFonts w:ascii="Arial" w:hAnsi="Arial" w:cs="Arial"/>
        <w:b/>
        <w:bCs/>
        <w:sz w:val="18"/>
        <w:szCs w:val="18"/>
      </w:rPr>
      <w:t>2</w:t>
    </w:r>
    <w:r w:rsidR="02CAADF3" w:rsidRPr="14B506C8">
      <w:rPr>
        <w:rFonts w:ascii="Arial" w:hAnsi="Arial" w:cs="Arial"/>
        <w:b/>
        <w:bCs/>
        <w:sz w:val="18"/>
        <w:szCs w:val="18"/>
      </w:rPr>
      <w:fldChar w:fldCharType="end"/>
    </w:r>
  </w:p>
  <w:p w14:paraId="681D60CF" w14:textId="77777777" w:rsidR="002320E0" w:rsidRDefault="002320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71C8" w14:textId="77777777" w:rsidR="00723505" w:rsidRDefault="00723505" w:rsidP="005D2740">
      <w:pPr>
        <w:spacing w:after="0" w:line="240" w:lineRule="auto"/>
      </w:pPr>
      <w:r>
        <w:separator/>
      </w:r>
    </w:p>
  </w:footnote>
  <w:footnote w:type="continuationSeparator" w:id="0">
    <w:p w14:paraId="1646DFEA" w14:textId="77777777" w:rsidR="00723505" w:rsidRDefault="00723505" w:rsidP="005D2740">
      <w:pPr>
        <w:spacing w:after="0" w:line="240" w:lineRule="auto"/>
      </w:pPr>
      <w:r>
        <w:continuationSeparator/>
      </w:r>
    </w:p>
  </w:footnote>
  <w:footnote w:type="continuationNotice" w:id="1">
    <w:p w14:paraId="47210BF5" w14:textId="77777777" w:rsidR="00723505" w:rsidRDefault="0072350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02CAADF3" w14:paraId="07741DC8" w14:textId="77777777" w:rsidTr="02CAADF3">
      <w:trPr>
        <w:trHeight w:val="300"/>
      </w:trPr>
      <w:tc>
        <w:tcPr>
          <w:tcW w:w="3005" w:type="dxa"/>
        </w:tcPr>
        <w:p w14:paraId="0B36C7A3" w14:textId="3916966B" w:rsidR="02CAADF3" w:rsidRDefault="02CAADF3" w:rsidP="02CAADF3">
          <w:pPr>
            <w:pStyle w:val="Header"/>
            <w:ind w:left="-115"/>
          </w:pPr>
        </w:p>
      </w:tc>
      <w:tc>
        <w:tcPr>
          <w:tcW w:w="3005" w:type="dxa"/>
        </w:tcPr>
        <w:p w14:paraId="0CF4FA61" w14:textId="04B8271C" w:rsidR="02CAADF3" w:rsidRDefault="02CAADF3" w:rsidP="02CAADF3">
          <w:pPr>
            <w:pStyle w:val="Header"/>
            <w:jc w:val="center"/>
          </w:pPr>
        </w:p>
      </w:tc>
      <w:tc>
        <w:tcPr>
          <w:tcW w:w="3005" w:type="dxa"/>
        </w:tcPr>
        <w:p w14:paraId="03312126" w14:textId="320A1949" w:rsidR="02CAADF3" w:rsidRDefault="02CAADF3" w:rsidP="02CAADF3">
          <w:pPr>
            <w:pStyle w:val="Header"/>
            <w:ind w:right="-115"/>
            <w:jc w:val="right"/>
          </w:pPr>
        </w:p>
      </w:tc>
    </w:tr>
  </w:tbl>
  <w:p w14:paraId="4BC7A1CB" w14:textId="3F512F06" w:rsidR="02CAADF3" w:rsidRDefault="02CAADF3" w:rsidP="02CAA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25BB2"/>
    <w:multiLevelType w:val="hybridMultilevel"/>
    <w:tmpl w:val="F2EC0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942E5"/>
    <w:multiLevelType w:val="hybridMultilevel"/>
    <w:tmpl w:val="2362B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A85468"/>
    <w:multiLevelType w:val="hybridMultilevel"/>
    <w:tmpl w:val="C47C7442"/>
    <w:lvl w:ilvl="0" w:tplc="9200A43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773800"/>
    <w:multiLevelType w:val="hybridMultilevel"/>
    <w:tmpl w:val="763AF4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D69DADE"/>
    <w:multiLevelType w:val="hybridMultilevel"/>
    <w:tmpl w:val="6CEE6830"/>
    <w:lvl w:ilvl="0" w:tplc="85F45D7E">
      <w:start w:val="1"/>
      <w:numFmt w:val="bullet"/>
      <w:lvlText w:val=""/>
      <w:lvlJc w:val="left"/>
      <w:pPr>
        <w:ind w:left="720" w:hanging="360"/>
      </w:pPr>
      <w:rPr>
        <w:rFonts w:ascii="Symbol" w:hAnsi="Symbol" w:hint="default"/>
      </w:rPr>
    </w:lvl>
    <w:lvl w:ilvl="1" w:tplc="1EFCEB7E">
      <w:start w:val="1"/>
      <w:numFmt w:val="bullet"/>
      <w:lvlText w:val="o"/>
      <w:lvlJc w:val="left"/>
      <w:pPr>
        <w:ind w:left="1440" w:hanging="360"/>
      </w:pPr>
      <w:rPr>
        <w:rFonts w:ascii="Courier New" w:hAnsi="Courier New" w:hint="default"/>
      </w:rPr>
    </w:lvl>
    <w:lvl w:ilvl="2" w:tplc="E4DAFAB6">
      <w:start w:val="1"/>
      <w:numFmt w:val="bullet"/>
      <w:lvlText w:val=""/>
      <w:lvlJc w:val="left"/>
      <w:pPr>
        <w:ind w:left="2160" w:hanging="360"/>
      </w:pPr>
      <w:rPr>
        <w:rFonts w:ascii="Wingdings" w:hAnsi="Wingdings" w:hint="default"/>
      </w:rPr>
    </w:lvl>
    <w:lvl w:ilvl="3" w:tplc="D1D2F63C">
      <w:start w:val="1"/>
      <w:numFmt w:val="bullet"/>
      <w:lvlText w:val=""/>
      <w:lvlJc w:val="left"/>
      <w:pPr>
        <w:ind w:left="2880" w:hanging="360"/>
      </w:pPr>
      <w:rPr>
        <w:rFonts w:ascii="Symbol" w:hAnsi="Symbol" w:hint="default"/>
      </w:rPr>
    </w:lvl>
    <w:lvl w:ilvl="4" w:tplc="12A82DCA">
      <w:start w:val="1"/>
      <w:numFmt w:val="bullet"/>
      <w:lvlText w:val="o"/>
      <w:lvlJc w:val="left"/>
      <w:pPr>
        <w:ind w:left="3600" w:hanging="360"/>
      </w:pPr>
      <w:rPr>
        <w:rFonts w:ascii="Courier New" w:hAnsi="Courier New" w:hint="default"/>
      </w:rPr>
    </w:lvl>
    <w:lvl w:ilvl="5" w:tplc="06BE0E9C">
      <w:start w:val="1"/>
      <w:numFmt w:val="bullet"/>
      <w:lvlText w:val=""/>
      <w:lvlJc w:val="left"/>
      <w:pPr>
        <w:ind w:left="4320" w:hanging="360"/>
      </w:pPr>
      <w:rPr>
        <w:rFonts w:ascii="Wingdings" w:hAnsi="Wingdings" w:hint="default"/>
      </w:rPr>
    </w:lvl>
    <w:lvl w:ilvl="6" w:tplc="C38A0000">
      <w:start w:val="1"/>
      <w:numFmt w:val="bullet"/>
      <w:lvlText w:val=""/>
      <w:lvlJc w:val="left"/>
      <w:pPr>
        <w:ind w:left="5040" w:hanging="360"/>
      </w:pPr>
      <w:rPr>
        <w:rFonts w:ascii="Symbol" w:hAnsi="Symbol" w:hint="default"/>
      </w:rPr>
    </w:lvl>
    <w:lvl w:ilvl="7" w:tplc="541057C4">
      <w:start w:val="1"/>
      <w:numFmt w:val="bullet"/>
      <w:lvlText w:val="o"/>
      <w:lvlJc w:val="left"/>
      <w:pPr>
        <w:ind w:left="5760" w:hanging="360"/>
      </w:pPr>
      <w:rPr>
        <w:rFonts w:ascii="Courier New" w:hAnsi="Courier New" w:hint="default"/>
      </w:rPr>
    </w:lvl>
    <w:lvl w:ilvl="8" w:tplc="6CDCB022">
      <w:start w:val="1"/>
      <w:numFmt w:val="bullet"/>
      <w:lvlText w:val=""/>
      <w:lvlJc w:val="left"/>
      <w:pPr>
        <w:ind w:left="6480" w:hanging="360"/>
      </w:pPr>
      <w:rPr>
        <w:rFonts w:ascii="Wingdings" w:hAnsi="Wingdings" w:hint="default"/>
      </w:rPr>
    </w:lvl>
  </w:abstractNum>
  <w:abstractNum w:abstractNumId="5" w15:restartNumberingAfterBreak="0">
    <w:nsid w:val="6B0373C5"/>
    <w:multiLevelType w:val="hybridMultilevel"/>
    <w:tmpl w:val="C31475FC"/>
    <w:lvl w:ilvl="0" w:tplc="CB006DE4">
      <w:start w:val="1"/>
      <w:numFmt w:val="decimal"/>
      <w:lvlText w:val="%1."/>
      <w:lvlJc w:val="left"/>
      <w:pPr>
        <w:ind w:left="720" w:hanging="360"/>
      </w:pPr>
    </w:lvl>
    <w:lvl w:ilvl="1" w:tplc="52D2D840">
      <w:start w:val="1"/>
      <w:numFmt w:val="lowerLetter"/>
      <w:lvlText w:val="%2."/>
      <w:lvlJc w:val="left"/>
      <w:pPr>
        <w:ind w:left="1440" w:hanging="360"/>
      </w:pPr>
    </w:lvl>
    <w:lvl w:ilvl="2" w:tplc="8EBE91C8">
      <w:start w:val="1"/>
      <w:numFmt w:val="lowerRoman"/>
      <w:lvlText w:val="%3."/>
      <w:lvlJc w:val="right"/>
      <w:pPr>
        <w:ind w:left="2160" w:hanging="180"/>
      </w:pPr>
    </w:lvl>
    <w:lvl w:ilvl="3" w:tplc="4FE6AFFC">
      <w:start w:val="1"/>
      <w:numFmt w:val="decimal"/>
      <w:lvlText w:val="%4."/>
      <w:lvlJc w:val="left"/>
      <w:pPr>
        <w:ind w:left="2880" w:hanging="360"/>
      </w:pPr>
    </w:lvl>
    <w:lvl w:ilvl="4" w:tplc="F0E66BAA">
      <w:start w:val="1"/>
      <w:numFmt w:val="lowerLetter"/>
      <w:lvlText w:val="%5."/>
      <w:lvlJc w:val="left"/>
      <w:pPr>
        <w:ind w:left="3600" w:hanging="360"/>
      </w:pPr>
    </w:lvl>
    <w:lvl w:ilvl="5" w:tplc="F438D16E">
      <w:start w:val="1"/>
      <w:numFmt w:val="lowerRoman"/>
      <w:lvlText w:val="%6."/>
      <w:lvlJc w:val="right"/>
      <w:pPr>
        <w:ind w:left="4320" w:hanging="180"/>
      </w:pPr>
    </w:lvl>
    <w:lvl w:ilvl="6" w:tplc="24C8844E">
      <w:start w:val="1"/>
      <w:numFmt w:val="decimal"/>
      <w:lvlText w:val="%7."/>
      <w:lvlJc w:val="left"/>
      <w:pPr>
        <w:ind w:left="5040" w:hanging="360"/>
      </w:pPr>
    </w:lvl>
    <w:lvl w:ilvl="7" w:tplc="2758B04C">
      <w:start w:val="1"/>
      <w:numFmt w:val="lowerLetter"/>
      <w:lvlText w:val="%8."/>
      <w:lvlJc w:val="left"/>
      <w:pPr>
        <w:ind w:left="5760" w:hanging="360"/>
      </w:pPr>
    </w:lvl>
    <w:lvl w:ilvl="8" w:tplc="D38A0020">
      <w:start w:val="1"/>
      <w:numFmt w:val="lowerRoman"/>
      <w:lvlText w:val="%9."/>
      <w:lvlJc w:val="right"/>
      <w:pPr>
        <w:ind w:left="6480" w:hanging="180"/>
      </w:pPr>
    </w:lvl>
  </w:abstractNum>
  <w:abstractNum w:abstractNumId="6" w15:restartNumberingAfterBreak="0">
    <w:nsid w:val="701D99A9"/>
    <w:multiLevelType w:val="hybridMultilevel"/>
    <w:tmpl w:val="80B660F4"/>
    <w:lvl w:ilvl="0" w:tplc="C9E6F2F6">
      <w:start w:val="1"/>
      <w:numFmt w:val="bullet"/>
      <w:lvlText w:val=""/>
      <w:lvlJc w:val="left"/>
      <w:pPr>
        <w:ind w:left="720" w:hanging="360"/>
      </w:pPr>
      <w:rPr>
        <w:rFonts w:ascii="Symbol" w:hAnsi="Symbol" w:hint="default"/>
      </w:rPr>
    </w:lvl>
    <w:lvl w:ilvl="1" w:tplc="8880F828">
      <w:start w:val="1"/>
      <w:numFmt w:val="bullet"/>
      <w:lvlText w:val="o"/>
      <w:lvlJc w:val="left"/>
      <w:pPr>
        <w:ind w:left="1440" w:hanging="360"/>
      </w:pPr>
      <w:rPr>
        <w:rFonts w:ascii="Courier New" w:hAnsi="Courier New" w:hint="default"/>
      </w:rPr>
    </w:lvl>
    <w:lvl w:ilvl="2" w:tplc="A854515E">
      <w:start w:val="1"/>
      <w:numFmt w:val="bullet"/>
      <w:lvlText w:val=""/>
      <w:lvlJc w:val="left"/>
      <w:pPr>
        <w:ind w:left="2160" w:hanging="360"/>
      </w:pPr>
      <w:rPr>
        <w:rFonts w:ascii="Wingdings" w:hAnsi="Wingdings" w:hint="default"/>
      </w:rPr>
    </w:lvl>
    <w:lvl w:ilvl="3" w:tplc="0038B33C">
      <w:start w:val="1"/>
      <w:numFmt w:val="bullet"/>
      <w:lvlText w:val=""/>
      <w:lvlJc w:val="left"/>
      <w:pPr>
        <w:ind w:left="2880" w:hanging="360"/>
      </w:pPr>
      <w:rPr>
        <w:rFonts w:ascii="Symbol" w:hAnsi="Symbol" w:hint="default"/>
      </w:rPr>
    </w:lvl>
    <w:lvl w:ilvl="4" w:tplc="739204DE">
      <w:start w:val="1"/>
      <w:numFmt w:val="bullet"/>
      <w:lvlText w:val="o"/>
      <w:lvlJc w:val="left"/>
      <w:pPr>
        <w:ind w:left="3600" w:hanging="360"/>
      </w:pPr>
      <w:rPr>
        <w:rFonts w:ascii="Courier New" w:hAnsi="Courier New" w:hint="default"/>
      </w:rPr>
    </w:lvl>
    <w:lvl w:ilvl="5" w:tplc="2C565FA6">
      <w:start w:val="1"/>
      <w:numFmt w:val="bullet"/>
      <w:lvlText w:val=""/>
      <w:lvlJc w:val="left"/>
      <w:pPr>
        <w:ind w:left="4320" w:hanging="360"/>
      </w:pPr>
      <w:rPr>
        <w:rFonts w:ascii="Wingdings" w:hAnsi="Wingdings" w:hint="default"/>
      </w:rPr>
    </w:lvl>
    <w:lvl w:ilvl="6" w:tplc="E996B23A">
      <w:start w:val="1"/>
      <w:numFmt w:val="bullet"/>
      <w:lvlText w:val=""/>
      <w:lvlJc w:val="left"/>
      <w:pPr>
        <w:ind w:left="5040" w:hanging="360"/>
      </w:pPr>
      <w:rPr>
        <w:rFonts w:ascii="Symbol" w:hAnsi="Symbol" w:hint="default"/>
      </w:rPr>
    </w:lvl>
    <w:lvl w:ilvl="7" w:tplc="E88CF742">
      <w:start w:val="1"/>
      <w:numFmt w:val="bullet"/>
      <w:lvlText w:val="o"/>
      <w:lvlJc w:val="left"/>
      <w:pPr>
        <w:ind w:left="5760" w:hanging="360"/>
      </w:pPr>
      <w:rPr>
        <w:rFonts w:ascii="Courier New" w:hAnsi="Courier New" w:hint="default"/>
      </w:rPr>
    </w:lvl>
    <w:lvl w:ilvl="8" w:tplc="34366434">
      <w:start w:val="1"/>
      <w:numFmt w:val="bullet"/>
      <w:lvlText w:val=""/>
      <w:lvlJc w:val="left"/>
      <w:pPr>
        <w:ind w:left="6480" w:hanging="360"/>
      </w:pPr>
      <w:rPr>
        <w:rFonts w:ascii="Wingdings" w:hAnsi="Wingdings" w:hint="default"/>
      </w:rPr>
    </w:lvl>
  </w:abstractNum>
  <w:num w:numId="1" w16cid:durableId="709066549">
    <w:abstractNumId w:val="4"/>
  </w:num>
  <w:num w:numId="2" w16cid:durableId="1656840656">
    <w:abstractNumId w:val="6"/>
  </w:num>
  <w:num w:numId="3" w16cid:durableId="929856277">
    <w:abstractNumId w:val="5"/>
  </w:num>
  <w:num w:numId="4" w16cid:durableId="366175305">
    <w:abstractNumId w:val="2"/>
  </w:num>
  <w:num w:numId="5" w16cid:durableId="2097436274">
    <w:abstractNumId w:val="3"/>
  </w:num>
  <w:num w:numId="6" w16cid:durableId="730537765">
    <w:abstractNumId w:val="0"/>
  </w:num>
  <w:num w:numId="7" w16cid:durableId="210565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BB"/>
    <w:rsid w:val="00030225"/>
    <w:rsid w:val="00042FE8"/>
    <w:rsid w:val="00043ADF"/>
    <w:rsid w:val="00070FFD"/>
    <w:rsid w:val="00073DF1"/>
    <w:rsid w:val="00077806"/>
    <w:rsid w:val="000864DC"/>
    <w:rsid w:val="000C74F8"/>
    <w:rsid w:val="000D70BB"/>
    <w:rsid w:val="00104953"/>
    <w:rsid w:val="00144106"/>
    <w:rsid w:val="00151ABF"/>
    <w:rsid w:val="00187F3C"/>
    <w:rsid w:val="001B0944"/>
    <w:rsid w:val="001C6D21"/>
    <w:rsid w:val="001D43DE"/>
    <w:rsid w:val="002320E0"/>
    <w:rsid w:val="00233CCE"/>
    <w:rsid w:val="002366B7"/>
    <w:rsid w:val="00271854"/>
    <w:rsid w:val="00281615"/>
    <w:rsid w:val="002952A7"/>
    <w:rsid w:val="002C1BB2"/>
    <w:rsid w:val="002E6806"/>
    <w:rsid w:val="00300A45"/>
    <w:rsid w:val="003149C2"/>
    <w:rsid w:val="00323F18"/>
    <w:rsid w:val="00333307"/>
    <w:rsid w:val="0035089F"/>
    <w:rsid w:val="00374502"/>
    <w:rsid w:val="0038666D"/>
    <w:rsid w:val="003E7C19"/>
    <w:rsid w:val="00413008"/>
    <w:rsid w:val="00426AEA"/>
    <w:rsid w:val="004522D1"/>
    <w:rsid w:val="004704A5"/>
    <w:rsid w:val="0049043B"/>
    <w:rsid w:val="004D505C"/>
    <w:rsid w:val="004D5748"/>
    <w:rsid w:val="004E3882"/>
    <w:rsid w:val="004E3DF2"/>
    <w:rsid w:val="004E658F"/>
    <w:rsid w:val="004F7BBF"/>
    <w:rsid w:val="0051400D"/>
    <w:rsid w:val="005425D5"/>
    <w:rsid w:val="0058690B"/>
    <w:rsid w:val="005924CE"/>
    <w:rsid w:val="005D2740"/>
    <w:rsid w:val="005D5A0C"/>
    <w:rsid w:val="005D5D02"/>
    <w:rsid w:val="005E401C"/>
    <w:rsid w:val="00606D36"/>
    <w:rsid w:val="0062269D"/>
    <w:rsid w:val="00624B1A"/>
    <w:rsid w:val="00635383"/>
    <w:rsid w:val="00636AC8"/>
    <w:rsid w:val="00641B6C"/>
    <w:rsid w:val="006C2BC0"/>
    <w:rsid w:val="006C4F52"/>
    <w:rsid w:val="006C66E2"/>
    <w:rsid w:val="006E2DB4"/>
    <w:rsid w:val="006E7A79"/>
    <w:rsid w:val="006F167E"/>
    <w:rsid w:val="006F5490"/>
    <w:rsid w:val="006F65DF"/>
    <w:rsid w:val="00723505"/>
    <w:rsid w:val="00727359"/>
    <w:rsid w:val="00751A12"/>
    <w:rsid w:val="00777D22"/>
    <w:rsid w:val="00783626"/>
    <w:rsid w:val="007C3AD0"/>
    <w:rsid w:val="007D6AF0"/>
    <w:rsid w:val="007F3C59"/>
    <w:rsid w:val="008225D9"/>
    <w:rsid w:val="00836B38"/>
    <w:rsid w:val="008571A2"/>
    <w:rsid w:val="00890FF4"/>
    <w:rsid w:val="008C6ABA"/>
    <w:rsid w:val="008E7311"/>
    <w:rsid w:val="008F1CF9"/>
    <w:rsid w:val="00920D05"/>
    <w:rsid w:val="00942FEC"/>
    <w:rsid w:val="00972CF6"/>
    <w:rsid w:val="009951CA"/>
    <w:rsid w:val="009A42A6"/>
    <w:rsid w:val="009A6873"/>
    <w:rsid w:val="009B2E83"/>
    <w:rsid w:val="009C3A42"/>
    <w:rsid w:val="00A03B20"/>
    <w:rsid w:val="00A05050"/>
    <w:rsid w:val="00A33F33"/>
    <w:rsid w:val="00A51E1C"/>
    <w:rsid w:val="00A54D03"/>
    <w:rsid w:val="00AA16C0"/>
    <w:rsid w:val="00AA2FD3"/>
    <w:rsid w:val="00AB37A6"/>
    <w:rsid w:val="00AD141D"/>
    <w:rsid w:val="00AE5AF7"/>
    <w:rsid w:val="00AF0E9F"/>
    <w:rsid w:val="00AF79F5"/>
    <w:rsid w:val="00B06FA4"/>
    <w:rsid w:val="00B23915"/>
    <w:rsid w:val="00B23C7E"/>
    <w:rsid w:val="00B24800"/>
    <w:rsid w:val="00B427BB"/>
    <w:rsid w:val="00BB3F92"/>
    <w:rsid w:val="00BB5063"/>
    <w:rsid w:val="00BC0F17"/>
    <w:rsid w:val="00C63B38"/>
    <w:rsid w:val="00C71B73"/>
    <w:rsid w:val="00C8727C"/>
    <w:rsid w:val="00CA2EF4"/>
    <w:rsid w:val="00CE14DF"/>
    <w:rsid w:val="00CE3F13"/>
    <w:rsid w:val="00CE4168"/>
    <w:rsid w:val="00CF189D"/>
    <w:rsid w:val="00D1317D"/>
    <w:rsid w:val="00D1482F"/>
    <w:rsid w:val="00D14F23"/>
    <w:rsid w:val="00D1558E"/>
    <w:rsid w:val="00D80875"/>
    <w:rsid w:val="00D97940"/>
    <w:rsid w:val="00DC6997"/>
    <w:rsid w:val="00DE09A4"/>
    <w:rsid w:val="00E11F2E"/>
    <w:rsid w:val="00E40C5A"/>
    <w:rsid w:val="00EA50EE"/>
    <w:rsid w:val="00F11A5D"/>
    <w:rsid w:val="00F14172"/>
    <w:rsid w:val="00F16C6F"/>
    <w:rsid w:val="00F27953"/>
    <w:rsid w:val="00F7117F"/>
    <w:rsid w:val="00F75614"/>
    <w:rsid w:val="00F95BEB"/>
    <w:rsid w:val="00FA40EA"/>
    <w:rsid w:val="00FB6947"/>
    <w:rsid w:val="02CAADF3"/>
    <w:rsid w:val="03458B5E"/>
    <w:rsid w:val="0354CE9E"/>
    <w:rsid w:val="0ADE7FE2"/>
    <w:rsid w:val="0D81B56B"/>
    <w:rsid w:val="14B506C8"/>
    <w:rsid w:val="168F97DA"/>
    <w:rsid w:val="21DA5712"/>
    <w:rsid w:val="25A7A07B"/>
    <w:rsid w:val="2B32C710"/>
    <w:rsid w:val="3142867C"/>
    <w:rsid w:val="32864046"/>
    <w:rsid w:val="33764058"/>
    <w:rsid w:val="38AF519D"/>
    <w:rsid w:val="3DB6B2E9"/>
    <w:rsid w:val="4593D917"/>
    <w:rsid w:val="47AC2A48"/>
    <w:rsid w:val="4B0C296E"/>
    <w:rsid w:val="5C5E14D5"/>
    <w:rsid w:val="5E9D76F5"/>
    <w:rsid w:val="607D3962"/>
    <w:rsid w:val="6089762C"/>
    <w:rsid w:val="66F69449"/>
    <w:rsid w:val="71BB8CB8"/>
    <w:rsid w:val="750FE6F1"/>
    <w:rsid w:val="7DD68EB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ED719"/>
  <w15:chartTrackingRefBased/>
  <w15:docId w15:val="{F62F995A-CD43-42A5-B18B-44CE76EFB0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BB"/>
    <w:pPr>
      <w:spacing w:after="0" w:line="240" w:lineRule="auto"/>
      <w:ind w:left="720"/>
      <w:contextualSpacing/>
    </w:pPr>
    <w:rPr>
      <w:rFonts w:ascii="Calibri" w:eastAsia="Calibri" w:hAnsi="Calibri" w:cs="Times New Roman"/>
    </w:rPr>
  </w:style>
  <w:style w:type="paragraph" w:styleId="NormalWeb">
    <w:name w:val="Normal (Web)"/>
    <w:basedOn w:val="Normal"/>
    <w:uiPriority w:val="99"/>
    <w:unhideWhenUsed/>
    <w:rsid w:val="00B427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5D27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D2740"/>
  </w:style>
  <w:style w:type="paragraph" w:styleId="Footer">
    <w:name w:val="footer"/>
    <w:basedOn w:val="Normal"/>
    <w:link w:val="FooterChar"/>
    <w:uiPriority w:val="99"/>
    <w:unhideWhenUsed/>
    <w:rsid w:val="005D27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D2740"/>
  </w:style>
  <w:style w:type="character" w:styleId="Hyperlink">
    <w:name w:val="Hyperlink"/>
    <w:basedOn w:val="DefaultParagraphFont"/>
    <w:uiPriority w:val="99"/>
    <w:unhideWhenUsed/>
    <w:rsid w:val="0038666D"/>
    <w:rPr>
      <w:color w:val="0000FF"/>
      <w:u w:val="single"/>
    </w:rPr>
  </w:style>
  <w:style w:type="character" w:customStyle="1" w:styleId="normaltextrun">
    <w:name w:val="normaltextrun"/>
    <w:basedOn w:val="DefaultParagraphFont"/>
    <w:rsid w:val="00606D36"/>
  </w:style>
  <w:style w:type="character" w:styleId="UnresolvedMention">
    <w:name w:val="Unresolved Mention"/>
    <w:basedOn w:val="DefaultParagraphFont"/>
    <w:uiPriority w:val="99"/>
    <w:semiHidden/>
    <w:unhideWhenUsed/>
    <w:rsid w:val="00624B1A"/>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BC0F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ingstonuniversity.sharepoint.com/sites/Comm-academic-council/SitePages/Meetings-Home.aspx"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fficeforstudents.org.uk/media/qzqblugo/securing-student-success-regulatory-framework-for-higher-education-in-england-2022.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F47C6D639642C4882A310EAFDB93A7F" ma:contentTypeVersion="14" ma:contentTypeDescription="Create a new document." ma:contentTypeScope="" ma:versionID="443795fbbb7ea5ebe7ea3ce529bc9680">
  <xsd:schema xmlns:xsd="http://www.w3.org/2001/XMLSchema" xmlns:xs="http://www.w3.org/2001/XMLSchema" xmlns:p="http://schemas.microsoft.com/office/2006/metadata/properties" xmlns:ns2="3949bc56-6107-4a37-a900-858857adfede" xmlns:ns3="cca6b130-34ce-479a-80ad-5918b2c7d9b9" targetNamespace="http://schemas.microsoft.com/office/2006/metadata/properties" ma:root="true" ma:fieldsID="1d57f197d008f6cb018108c8620491c6" ns2:_="" ns3:_="">
    <xsd:import namespace="3949bc56-6107-4a37-a900-858857adfede"/>
    <xsd:import namespace="cca6b130-34ce-479a-80ad-5918b2c7d9b9"/>
    <xsd:element name="properties">
      <xsd:complexType>
        <xsd:sequence>
          <xsd:element name="documentManagement">
            <xsd:complexType>
              <xsd:all>
                <xsd:element ref="ns2:TaxKeywordTaxHTField" minOccurs="0"/>
                <xsd:element ref="ns2:TaxCatchAll" minOccurs="0"/>
                <xsd:element ref="ns2:TaxCatchAllLabel"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a6b130-34ce-479a-80ad-5918b2c7d9b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792C17-35C0-43B7-A804-A593A1461E06}">
  <ds:schemaRefs>
    <ds:schemaRef ds:uri="http://schemas.microsoft.com/sharepoint/v3/contenttype/forms"/>
  </ds:schemaRefs>
</ds:datastoreItem>
</file>

<file path=customXml/itemProps2.xml><?xml version="1.0" encoding="utf-8"?>
<ds:datastoreItem xmlns:ds="http://schemas.openxmlformats.org/officeDocument/2006/customXml" ds:itemID="{5323011C-361A-42B3-9109-F983C3D5F1A5}">
  <ds:schemaRefs>
    <ds:schemaRef ds:uri="http://schemas.openxmlformats.org/officeDocument/2006/bibliography"/>
  </ds:schemaRefs>
</ds:datastoreItem>
</file>

<file path=customXml/itemProps3.xml><?xml version="1.0" encoding="utf-8"?>
<ds:datastoreItem xmlns:ds="http://schemas.openxmlformats.org/officeDocument/2006/customXml" ds:itemID="{B4A0FAC5-6AE4-4532-86F5-FF8CAC481C89}">
  <ds:schemaRefs>
    <ds:schemaRef ds:uri="http://purl.org/dc/dcmitype/"/>
    <ds:schemaRef ds:uri="http://purl.org/dc/elements/1.1/"/>
    <ds:schemaRef ds:uri="http://www.w3.org/XML/1998/namespace"/>
    <ds:schemaRef ds:uri="http://schemas.microsoft.com/office/2006/metadata/properties"/>
    <ds:schemaRef ds:uri="http://schemas.openxmlformats.org/package/2006/metadata/core-properties"/>
    <ds:schemaRef ds:uri="http://schemas.microsoft.com/office/2006/documentManagement/types"/>
    <ds:schemaRef ds:uri="3949bc56-6107-4a37-a900-858857adfede"/>
    <ds:schemaRef ds:uri="http://purl.org/dc/terms/"/>
    <ds:schemaRef ds:uri="http://schemas.microsoft.com/office/infopath/2007/PartnerControls"/>
    <ds:schemaRef ds:uri="cca6b130-34ce-479a-80ad-5918b2c7d9b9"/>
  </ds:schemaRefs>
</ds:datastoreItem>
</file>

<file path=customXml/itemProps4.xml><?xml version="1.0" encoding="utf-8"?>
<ds:datastoreItem xmlns:ds="http://schemas.openxmlformats.org/officeDocument/2006/customXml" ds:itemID="{564EC1F3-59A8-415E-A4B7-7C60D1316B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49bc56-6107-4a37-a900-858857adfede"/>
    <ds:schemaRef ds:uri="cca6b130-34ce-479a-80ad-5918b2c7d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539</Words>
  <Characters>3078</Characters>
  <Application>Microsoft Office Word</Application>
  <DocSecurity>0</DocSecurity>
  <Lines>25</Lines>
  <Paragraphs>7</Paragraphs>
  <ScaleCrop>false</ScaleCrop>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Connor, Sarah</dc:creator>
  <cp:keywords/>
  <dc:description/>
  <cp:lastModifiedBy>Bradbury, Becky</cp:lastModifiedBy>
  <cp:revision>2</cp:revision>
  <dcterms:created xsi:type="dcterms:W3CDTF">2025-10-31T15:55:00Z</dcterms:created>
  <dcterms:modified xsi:type="dcterms:W3CDTF">2025-10-31T15:55:00Z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0x010100AF47C6D639642C4882A310EAFDB93A7F</vt:lpwstr>
  </property>
  <property fmtid="{D5CDD505-2E9C-101B-9397-08002B2CF9AE}" pid="3" name="TaxKeyword">
    <vt:lpwstr/>
  </property>
  <property fmtid="{D5CDD505-2E9C-101B-9397-08002B2CF9AE}" pid="4" name="MSIP_Label_bb33df66-56f3-4e40-865a-c6dfc77ed2ff_Enabled">
    <vt:lpwstr>true</vt:lpwstr>
  </property>
  <property fmtid="{D5CDD505-2E9C-101B-9397-08002B2CF9AE}" pid="5" name="MSIP_Label_bb33df66-56f3-4e40-865a-c6dfc77ed2ff_SetDate">
    <vt:lpwstr>2024-04-17T08:41:40Z</vt:lpwstr>
  </property>
  <property fmtid="{D5CDD505-2E9C-101B-9397-08002B2CF9AE}" pid="6" name="MSIP_Label_bb33df66-56f3-4e40-865a-c6dfc77ed2ff_Method">
    <vt:lpwstr>Privileged</vt:lpwstr>
  </property>
  <property fmtid="{D5CDD505-2E9C-101B-9397-08002B2CF9AE}" pid="7" name="MSIP_Label_bb33df66-56f3-4e40-865a-c6dfc77ed2ff_Name">
    <vt:lpwstr>KU Shared Document</vt:lpwstr>
  </property>
  <property fmtid="{D5CDD505-2E9C-101B-9397-08002B2CF9AE}" pid="8" name="MSIP_Label_bb33df66-56f3-4e40-865a-c6dfc77ed2ff_SiteId">
    <vt:lpwstr>c9ef029c-18cf-4016-86d3-93cf8e94ff94</vt:lpwstr>
  </property>
  <property fmtid="{D5CDD505-2E9C-101B-9397-08002B2CF9AE}" pid="9" name="MSIP_Label_bb33df66-56f3-4e40-865a-c6dfc77ed2ff_ActionId">
    <vt:lpwstr>5a609efa-7b18-40d1-9a87-99c067868ba0</vt:lpwstr>
  </property>
  <property fmtid="{D5CDD505-2E9C-101B-9397-08002B2CF9AE}" pid="10" name="MSIP_Label_bb33df66-56f3-4e40-865a-c6dfc77ed2ff_ContentBits">
    <vt:lpwstr>0</vt:lpwstr>
  </property>
</Properties>
</file>