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754CA" w14:textId="7DEC7E67" w:rsidR="00A33A6C" w:rsidRPr="00A91FF6" w:rsidRDefault="00A33A6C" w:rsidP="00A91FF6">
      <w:pPr>
        <w:jc w:val="center"/>
        <w:rPr>
          <w:b/>
          <w:bCs/>
          <w:sz w:val="36"/>
          <w:szCs w:val="36"/>
        </w:rPr>
      </w:pPr>
      <w:bookmarkStart w:id="0" w:name="_Toc97631967"/>
      <w:bookmarkStart w:id="1" w:name="_Toc112364407"/>
      <w:bookmarkStart w:id="2" w:name="_Toc97630752"/>
      <w:r w:rsidRPr="00A91FF6">
        <w:rPr>
          <w:b/>
          <w:bCs/>
          <w:sz w:val="36"/>
          <w:szCs w:val="36"/>
        </w:rPr>
        <w:t>Section I</w:t>
      </w:r>
      <w:bookmarkEnd w:id="0"/>
      <w:bookmarkEnd w:id="1"/>
    </w:p>
    <w:p w14:paraId="4C7A08DC" w14:textId="488CD584" w:rsidR="00A33A6C" w:rsidRPr="00A91FF6" w:rsidRDefault="00A33A6C" w:rsidP="00A91FF6">
      <w:pPr>
        <w:jc w:val="center"/>
        <w:rPr>
          <w:b/>
          <w:bCs/>
          <w:sz w:val="36"/>
          <w:szCs w:val="36"/>
        </w:rPr>
      </w:pPr>
      <w:r w:rsidRPr="00A91FF6">
        <w:rPr>
          <w:b/>
          <w:bCs/>
          <w:sz w:val="36"/>
          <w:szCs w:val="36"/>
        </w:rPr>
        <w:t>External Examiner</w:t>
      </w:r>
      <w:bookmarkStart w:id="3" w:name="_Toc97631968"/>
      <w:bookmarkStart w:id="4" w:name="_Toc112364408"/>
      <w:r w:rsidRPr="00A91FF6">
        <w:rPr>
          <w:b/>
          <w:bCs/>
          <w:sz w:val="36"/>
          <w:szCs w:val="36"/>
        </w:rPr>
        <w:t>s</w:t>
      </w:r>
      <w:bookmarkEnd w:id="3"/>
      <w:bookmarkEnd w:id="4"/>
    </w:p>
    <w:p w14:paraId="07851CC7" w14:textId="77777777" w:rsidR="00B815B9" w:rsidRPr="00B815B9" w:rsidRDefault="00B815B9" w:rsidP="00B815B9"/>
    <w:sdt>
      <w:sdtPr>
        <w:rPr>
          <w:rFonts w:eastAsiaTheme="minorHAnsi" w:cstheme="minorBidi"/>
          <w:b w:val="0"/>
          <w:color w:val="auto"/>
          <w:sz w:val="24"/>
          <w:szCs w:val="22"/>
          <w:lang w:val="en-GB"/>
        </w:rPr>
        <w:id w:val="402367602"/>
        <w:docPartObj>
          <w:docPartGallery w:val="Table of Contents"/>
          <w:docPartUnique/>
        </w:docPartObj>
      </w:sdtPr>
      <w:sdtContent>
        <w:p w14:paraId="5375D2AD" w14:textId="6C02478F" w:rsidR="00A33A6C" w:rsidRPr="00A33A6C" w:rsidRDefault="00A33A6C" w:rsidP="00B815B9">
          <w:pPr>
            <w:pStyle w:val="TOCHeading"/>
            <w:spacing w:line="240" w:lineRule="auto"/>
            <w:jc w:val="center"/>
            <w:rPr>
              <w:rStyle w:val="Heading2Char"/>
              <w:b/>
              <w:bCs/>
            </w:rPr>
          </w:pPr>
          <w:r w:rsidRPr="06476E8A">
            <w:rPr>
              <w:rStyle w:val="Heading2Char"/>
              <w:b/>
              <w:bCs/>
            </w:rPr>
            <w:t>Contents</w:t>
          </w:r>
        </w:p>
        <w:p w14:paraId="0EF9257C" w14:textId="6CFBB746" w:rsidR="003712A6" w:rsidRDefault="29DAE4F7">
          <w:pPr>
            <w:pStyle w:val="TOC2"/>
            <w:rPr>
              <w:rFonts w:asciiTheme="minorHAnsi" w:eastAsiaTheme="minorEastAsia" w:hAnsiTheme="minorHAnsi"/>
              <w:noProof/>
              <w:kern w:val="2"/>
              <w:szCs w:val="24"/>
              <w:lang w:eastAsia="en-GB"/>
              <w14:ligatures w14:val="standardContextual"/>
            </w:rPr>
          </w:pPr>
          <w:r>
            <w:fldChar w:fldCharType="begin"/>
          </w:r>
          <w:r w:rsidR="00A33A6C">
            <w:instrText>TOC \o "1-3" \h \z \u</w:instrText>
          </w:r>
          <w:r>
            <w:fldChar w:fldCharType="separate"/>
          </w:r>
          <w:hyperlink w:anchor="_Toc203731640" w:history="1">
            <w:r w:rsidR="003712A6" w:rsidRPr="0057142A">
              <w:rPr>
                <w:rStyle w:val="Hyperlink"/>
                <w:noProof/>
              </w:rPr>
              <w:t>Forms and Templates</w:t>
            </w:r>
            <w:r w:rsidR="003712A6">
              <w:rPr>
                <w:noProof/>
                <w:webHidden/>
              </w:rPr>
              <w:tab/>
            </w:r>
            <w:r w:rsidR="003712A6">
              <w:rPr>
                <w:noProof/>
                <w:webHidden/>
              </w:rPr>
              <w:fldChar w:fldCharType="begin"/>
            </w:r>
            <w:r w:rsidR="003712A6">
              <w:rPr>
                <w:noProof/>
                <w:webHidden/>
              </w:rPr>
              <w:instrText xml:space="preserve"> PAGEREF _Toc203731640 \h </w:instrText>
            </w:r>
            <w:r w:rsidR="003712A6">
              <w:rPr>
                <w:noProof/>
                <w:webHidden/>
              </w:rPr>
            </w:r>
            <w:r w:rsidR="003712A6">
              <w:rPr>
                <w:noProof/>
                <w:webHidden/>
              </w:rPr>
              <w:fldChar w:fldCharType="separate"/>
            </w:r>
            <w:r w:rsidR="003712A6">
              <w:rPr>
                <w:noProof/>
                <w:webHidden/>
              </w:rPr>
              <w:t>2</w:t>
            </w:r>
            <w:r w:rsidR="003712A6">
              <w:rPr>
                <w:noProof/>
                <w:webHidden/>
              </w:rPr>
              <w:fldChar w:fldCharType="end"/>
            </w:r>
          </w:hyperlink>
        </w:p>
        <w:p w14:paraId="071FB1F5" w14:textId="5311C05D" w:rsidR="003712A6" w:rsidRDefault="003712A6">
          <w:pPr>
            <w:pStyle w:val="TOC2"/>
            <w:rPr>
              <w:rFonts w:asciiTheme="minorHAnsi" w:eastAsiaTheme="minorEastAsia" w:hAnsiTheme="minorHAnsi"/>
              <w:noProof/>
              <w:kern w:val="2"/>
              <w:szCs w:val="24"/>
              <w:lang w:eastAsia="en-GB"/>
              <w14:ligatures w14:val="standardContextual"/>
            </w:rPr>
          </w:pPr>
          <w:hyperlink w:anchor="_Toc203731641" w:history="1">
            <w:r w:rsidRPr="0057142A">
              <w:rPr>
                <w:rStyle w:val="Hyperlink"/>
                <w:noProof/>
              </w:rPr>
              <w:t>Guidance Documents</w:t>
            </w:r>
            <w:r>
              <w:rPr>
                <w:noProof/>
                <w:webHidden/>
              </w:rPr>
              <w:tab/>
            </w:r>
            <w:r>
              <w:rPr>
                <w:noProof/>
                <w:webHidden/>
              </w:rPr>
              <w:fldChar w:fldCharType="begin"/>
            </w:r>
            <w:r>
              <w:rPr>
                <w:noProof/>
                <w:webHidden/>
              </w:rPr>
              <w:instrText xml:space="preserve"> PAGEREF _Toc203731641 \h </w:instrText>
            </w:r>
            <w:r>
              <w:rPr>
                <w:noProof/>
                <w:webHidden/>
              </w:rPr>
            </w:r>
            <w:r>
              <w:rPr>
                <w:noProof/>
                <w:webHidden/>
              </w:rPr>
              <w:fldChar w:fldCharType="separate"/>
            </w:r>
            <w:r>
              <w:rPr>
                <w:noProof/>
                <w:webHidden/>
              </w:rPr>
              <w:t>2</w:t>
            </w:r>
            <w:r>
              <w:rPr>
                <w:noProof/>
                <w:webHidden/>
              </w:rPr>
              <w:fldChar w:fldCharType="end"/>
            </w:r>
          </w:hyperlink>
        </w:p>
        <w:p w14:paraId="65FAC869" w14:textId="40628AA7" w:rsidR="003712A6" w:rsidRDefault="003712A6">
          <w:pPr>
            <w:pStyle w:val="TOC2"/>
            <w:rPr>
              <w:rFonts w:asciiTheme="minorHAnsi" w:eastAsiaTheme="minorEastAsia" w:hAnsiTheme="minorHAnsi"/>
              <w:noProof/>
              <w:kern w:val="2"/>
              <w:szCs w:val="24"/>
              <w:lang w:eastAsia="en-GB"/>
              <w14:ligatures w14:val="standardContextual"/>
            </w:rPr>
          </w:pPr>
          <w:hyperlink w:anchor="_Toc203731642" w:history="1">
            <w:r w:rsidRPr="0057142A">
              <w:rPr>
                <w:rStyle w:val="Hyperlink"/>
                <w:noProof/>
              </w:rPr>
              <w:t>Abbreviations in this section</w:t>
            </w:r>
            <w:r>
              <w:rPr>
                <w:noProof/>
                <w:webHidden/>
              </w:rPr>
              <w:tab/>
            </w:r>
            <w:r>
              <w:rPr>
                <w:noProof/>
                <w:webHidden/>
              </w:rPr>
              <w:fldChar w:fldCharType="begin"/>
            </w:r>
            <w:r>
              <w:rPr>
                <w:noProof/>
                <w:webHidden/>
              </w:rPr>
              <w:instrText xml:space="preserve"> PAGEREF _Toc203731642 \h </w:instrText>
            </w:r>
            <w:r>
              <w:rPr>
                <w:noProof/>
                <w:webHidden/>
              </w:rPr>
            </w:r>
            <w:r>
              <w:rPr>
                <w:noProof/>
                <w:webHidden/>
              </w:rPr>
              <w:fldChar w:fldCharType="separate"/>
            </w:r>
            <w:r>
              <w:rPr>
                <w:noProof/>
                <w:webHidden/>
              </w:rPr>
              <w:t>2</w:t>
            </w:r>
            <w:r>
              <w:rPr>
                <w:noProof/>
                <w:webHidden/>
              </w:rPr>
              <w:fldChar w:fldCharType="end"/>
            </w:r>
          </w:hyperlink>
        </w:p>
        <w:p w14:paraId="60E75E20" w14:textId="3E1F1CD8" w:rsidR="003712A6" w:rsidRDefault="003712A6">
          <w:pPr>
            <w:pStyle w:val="TOC2"/>
            <w:rPr>
              <w:rFonts w:asciiTheme="minorHAnsi" w:eastAsiaTheme="minorEastAsia" w:hAnsiTheme="minorHAnsi"/>
              <w:noProof/>
              <w:kern w:val="2"/>
              <w:szCs w:val="24"/>
              <w:lang w:eastAsia="en-GB"/>
              <w14:ligatures w14:val="standardContextual"/>
            </w:rPr>
          </w:pPr>
          <w:hyperlink w:anchor="_Toc203731643" w:history="1">
            <w:r w:rsidRPr="0057142A">
              <w:rPr>
                <w:rStyle w:val="Hyperlink"/>
                <w:noProof/>
              </w:rPr>
              <w:t>Definition</w:t>
            </w:r>
            <w:r>
              <w:rPr>
                <w:noProof/>
                <w:webHidden/>
              </w:rPr>
              <w:tab/>
            </w:r>
            <w:r>
              <w:rPr>
                <w:noProof/>
                <w:webHidden/>
              </w:rPr>
              <w:fldChar w:fldCharType="begin"/>
            </w:r>
            <w:r>
              <w:rPr>
                <w:noProof/>
                <w:webHidden/>
              </w:rPr>
              <w:instrText xml:space="preserve"> PAGEREF _Toc203731643 \h </w:instrText>
            </w:r>
            <w:r>
              <w:rPr>
                <w:noProof/>
                <w:webHidden/>
              </w:rPr>
            </w:r>
            <w:r>
              <w:rPr>
                <w:noProof/>
                <w:webHidden/>
              </w:rPr>
              <w:fldChar w:fldCharType="separate"/>
            </w:r>
            <w:r>
              <w:rPr>
                <w:noProof/>
                <w:webHidden/>
              </w:rPr>
              <w:t>4</w:t>
            </w:r>
            <w:r>
              <w:rPr>
                <w:noProof/>
                <w:webHidden/>
              </w:rPr>
              <w:fldChar w:fldCharType="end"/>
            </w:r>
          </w:hyperlink>
        </w:p>
        <w:p w14:paraId="2712E6BD" w14:textId="29EB4985" w:rsidR="003712A6" w:rsidRDefault="003712A6">
          <w:pPr>
            <w:pStyle w:val="TOC2"/>
            <w:rPr>
              <w:rFonts w:asciiTheme="minorHAnsi" w:eastAsiaTheme="minorEastAsia" w:hAnsiTheme="minorHAnsi"/>
              <w:noProof/>
              <w:kern w:val="2"/>
              <w:szCs w:val="24"/>
              <w:lang w:eastAsia="en-GB"/>
              <w14:ligatures w14:val="standardContextual"/>
            </w:rPr>
          </w:pPr>
          <w:hyperlink w:anchor="_Toc203731644" w:history="1">
            <w:r w:rsidRPr="0057142A">
              <w:rPr>
                <w:rStyle w:val="Hyperlink"/>
                <w:noProof/>
              </w:rPr>
              <w:t>Purpose</w:t>
            </w:r>
            <w:r>
              <w:rPr>
                <w:noProof/>
                <w:webHidden/>
              </w:rPr>
              <w:tab/>
            </w:r>
            <w:r>
              <w:rPr>
                <w:noProof/>
                <w:webHidden/>
              </w:rPr>
              <w:fldChar w:fldCharType="begin"/>
            </w:r>
            <w:r>
              <w:rPr>
                <w:noProof/>
                <w:webHidden/>
              </w:rPr>
              <w:instrText xml:space="preserve"> PAGEREF _Toc203731644 \h </w:instrText>
            </w:r>
            <w:r>
              <w:rPr>
                <w:noProof/>
                <w:webHidden/>
              </w:rPr>
            </w:r>
            <w:r>
              <w:rPr>
                <w:noProof/>
                <w:webHidden/>
              </w:rPr>
              <w:fldChar w:fldCharType="separate"/>
            </w:r>
            <w:r>
              <w:rPr>
                <w:noProof/>
                <w:webHidden/>
              </w:rPr>
              <w:t>4</w:t>
            </w:r>
            <w:r>
              <w:rPr>
                <w:noProof/>
                <w:webHidden/>
              </w:rPr>
              <w:fldChar w:fldCharType="end"/>
            </w:r>
          </w:hyperlink>
        </w:p>
        <w:p w14:paraId="1B2AB6D5" w14:textId="5DC66259" w:rsidR="003712A6" w:rsidRDefault="003712A6">
          <w:pPr>
            <w:pStyle w:val="TOC2"/>
            <w:rPr>
              <w:rFonts w:asciiTheme="minorHAnsi" w:eastAsiaTheme="minorEastAsia" w:hAnsiTheme="minorHAnsi"/>
              <w:noProof/>
              <w:kern w:val="2"/>
              <w:szCs w:val="24"/>
              <w:lang w:eastAsia="en-GB"/>
              <w14:ligatures w14:val="standardContextual"/>
            </w:rPr>
          </w:pPr>
          <w:hyperlink w:anchor="_Toc203731645" w:history="1">
            <w:r w:rsidRPr="0057142A">
              <w:rPr>
                <w:rStyle w:val="Hyperlink"/>
                <w:noProof/>
              </w:rPr>
              <w:t>Types of External Examiners</w:t>
            </w:r>
            <w:r>
              <w:rPr>
                <w:noProof/>
                <w:webHidden/>
              </w:rPr>
              <w:tab/>
            </w:r>
            <w:r>
              <w:rPr>
                <w:noProof/>
                <w:webHidden/>
              </w:rPr>
              <w:fldChar w:fldCharType="begin"/>
            </w:r>
            <w:r>
              <w:rPr>
                <w:noProof/>
                <w:webHidden/>
              </w:rPr>
              <w:instrText xml:space="preserve"> PAGEREF _Toc203731645 \h </w:instrText>
            </w:r>
            <w:r>
              <w:rPr>
                <w:noProof/>
                <w:webHidden/>
              </w:rPr>
            </w:r>
            <w:r>
              <w:rPr>
                <w:noProof/>
                <w:webHidden/>
              </w:rPr>
              <w:fldChar w:fldCharType="separate"/>
            </w:r>
            <w:r>
              <w:rPr>
                <w:noProof/>
                <w:webHidden/>
              </w:rPr>
              <w:t>4</w:t>
            </w:r>
            <w:r>
              <w:rPr>
                <w:noProof/>
                <w:webHidden/>
              </w:rPr>
              <w:fldChar w:fldCharType="end"/>
            </w:r>
          </w:hyperlink>
        </w:p>
        <w:p w14:paraId="50B4B882" w14:textId="44E39DC7"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46" w:history="1">
            <w:r w:rsidRPr="0057142A">
              <w:rPr>
                <w:rStyle w:val="Hyperlink"/>
                <w:noProof/>
              </w:rPr>
              <w:t>Subject External Examiners</w:t>
            </w:r>
            <w:r>
              <w:rPr>
                <w:noProof/>
                <w:webHidden/>
              </w:rPr>
              <w:tab/>
            </w:r>
            <w:r>
              <w:rPr>
                <w:noProof/>
                <w:webHidden/>
              </w:rPr>
              <w:fldChar w:fldCharType="begin"/>
            </w:r>
            <w:r>
              <w:rPr>
                <w:noProof/>
                <w:webHidden/>
              </w:rPr>
              <w:instrText xml:space="preserve"> PAGEREF _Toc203731646 \h </w:instrText>
            </w:r>
            <w:r>
              <w:rPr>
                <w:noProof/>
                <w:webHidden/>
              </w:rPr>
            </w:r>
            <w:r>
              <w:rPr>
                <w:noProof/>
                <w:webHidden/>
              </w:rPr>
              <w:fldChar w:fldCharType="separate"/>
            </w:r>
            <w:r>
              <w:rPr>
                <w:noProof/>
                <w:webHidden/>
              </w:rPr>
              <w:t>4</w:t>
            </w:r>
            <w:r>
              <w:rPr>
                <w:noProof/>
                <w:webHidden/>
              </w:rPr>
              <w:fldChar w:fldCharType="end"/>
            </w:r>
          </w:hyperlink>
        </w:p>
        <w:p w14:paraId="401736BB" w14:textId="0E1BA351"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47" w:history="1">
            <w:r w:rsidRPr="0057142A">
              <w:rPr>
                <w:rStyle w:val="Hyperlink"/>
                <w:noProof/>
              </w:rPr>
              <w:t>Programme Assessment Board (PAB) External Examiners</w:t>
            </w:r>
            <w:r>
              <w:rPr>
                <w:noProof/>
                <w:webHidden/>
              </w:rPr>
              <w:tab/>
            </w:r>
            <w:r>
              <w:rPr>
                <w:noProof/>
                <w:webHidden/>
              </w:rPr>
              <w:fldChar w:fldCharType="begin"/>
            </w:r>
            <w:r>
              <w:rPr>
                <w:noProof/>
                <w:webHidden/>
              </w:rPr>
              <w:instrText xml:space="preserve"> PAGEREF _Toc203731647 \h </w:instrText>
            </w:r>
            <w:r>
              <w:rPr>
                <w:noProof/>
                <w:webHidden/>
              </w:rPr>
            </w:r>
            <w:r>
              <w:rPr>
                <w:noProof/>
                <w:webHidden/>
              </w:rPr>
              <w:fldChar w:fldCharType="separate"/>
            </w:r>
            <w:r>
              <w:rPr>
                <w:noProof/>
                <w:webHidden/>
              </w:rPr>
              <w:t>4</w:t>
            </w:r>
            <w:r>
              <w:rPr>
                <w:noProof/>
                <w:webHidden/>
              </w:rPr>
              <w:fldChar w:fldCharType="end"/>
            </w:r>
          </w:hyperlink>
        </w:p>
        <w:p w14:paraId="559B862A" w14:textId="791AFC63"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48" w:history="1">
            <w:r w:rsidRPr="0057142A">
              <w:rPr>
                <w:rStyle w:val="Hyperlink"/>
                <w:noProof/>
              </w:rPr>
              <w:t>Higher &amp; Degree Apprenticeship (HDA) External Examiners</w:t>
            </w:r>
            <w:r>
              <w:rPr>
                <w:noProof/>
                <w:webHidden/>
              </w:rPr>
              <w:tab/>
            </w:r>
            <w:r>
              <w:rPr>
                <w:noProof/>
                <w:webHidden/>
              </w:rPr>
              <w:fldChar w:fldCharType="begin"/>
            </w:r>
            <w:r>
              <w:rPr>
                <w:noProof/>
                <w:webHidden/>
              </w:rPr>
              <w:instrText xml:space="preserve"> PAGEREF _Toc203731648 \h </w:instrText>
            </w:r>
            <w:r>
              <w:rPr>
                <w:noProof/>
                <w:webHidden/>
              </w:rPr>
            </w:r>
            <w:r>
              <w:rPr>
                <w:noProof/>
                <w:webHidden/>
              </w:rPr>
              <w:fldChar w:fldCharType="separate"/>
            </w:r>
            <w:r>
              <w:rPr>
                <w:noProof/>
                <w:webHidden/>
              </w:rPr>
              <w:t>4</w:t>
            </w:r>
            <w:r>
              <w:rPr>
                <w:noProof/>
                <w:webHidden/>
              </w:rPr>
              <w:fldChar w:fldCharType="end"/>
            </w:r>
          </w:hyperlink>
        </w:p>
        <w:p w14:paraId="4A76D81E" w14:textId="6F403D2A" w:rsidR="003712A6" w:rsidRDefault="003712A6">
          <w:pPr>
            <w:pStyle w:val="TOC2"/>
            <w:rPr>
              <w:rFonts w:asciiTheme="minorHAnsi" w:eastAsiaTheme="minorEastAsia" w:hAnsiTheme="minorHAnsi"/>
              <w:noProof/>
              <w:kern w:val="2"/>
              <w:szCs w:val="24"/>
              <w:lang w:eastAsia="en-GB"/>
              <w14:ligatures w14:val="standardContextual"/>
            </w:rPr>
          </w:pPr>
          <w:hyperlink w:anchor="_Toc203731649" w:history="1">
            <w:r w:rsidRPr="0057142A">
              <w:rPr>
                <w:rStyle w:val="Hyperlink"/>
                <w:noProof/>
              </w:rPr>
              <w:t>Appointment of External Examiners</w:t>
            </w:r>
            <w:r>
              <w:rPr>
                <w:noProof/>
                <w:webHidden/>
              </w:rPr>
              <w:tab/>
            </w:r>
            <w:r>
              <w:rPr>
                <w:noProof/>
                <w:webHidden/>
              </w:rPr>
              <w:fldChar w:fldCharType="begin"/>
            </w:r>
            <w:r>
              <w:rPr>
                <w:noProof/>
                <w:webHidden/>
              </w:rPr>
              <w:instrText xml:space="preserve"> PAGEREF _Toc203731649 \h </w:instrText>
            </w:r>
            <w:r>
              <w:rPr>
                <w:noProof/>
                <w:webHidden/>
              </w:rPr>
            </w:r>
            <w:r>
              <w:rPr>
                <w:noProof/>
                <w:webHidden/>
              </w:rPr>
              <w:fldChar w:fldCharType="separate"/>
            </w:r>
            <w:r>
              <w:rPr>
                <w:noProof/>
                <w:webHidden/>
              </w:rPr>
              <w:t>5</w:t>
            </w:r>
            <w:r>
              <w:rPr>
                <w:noProof/>
                <w:webHidden/>
              </w:rPr>
              <w:fldChar w:fldCharType="end"/>
            </w:r>
          </w:hyperlink>
        </w:p>
        <w:p w14:paraId="4C4DCF17" w14:textId="7DD44A9F"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50" w:history="1">
            <w:r w:rsidRPr="0057142A">
              <w:rPr>
                <w:rStyle w:val="Hyperlink"/>
                <w:noProof/>
                <w:lang w:eastAsia="en-GB"/>
              </w:rPr>
              <w:t>Period of Appointment, Extensions and Additional Duties</w:t>
            </w:r>
            <w:r>
              <w:rPr>
                <w:noProof/>
                <w:webHidden/>
              </w:rPr>
              <w:tab/>
            </w:r>
            <w:r>
              <w:rPr>
                <w:noProof/>
                <w:webHidden/>
              </w:rPr>
              <w:fldChar w:fldCharType="begin"/>
            </w:r>
            <w:r>
              <w:rPr>
                <w:noProof/>
                <w:webHidden/>
              </w:rPr>
              <w:instrText xml:space="preserve"> PAGEREF _Toc203731650 \h </w:instrText>
            </w:r>
            <w:r>
              <w:rPr>
                <w:noProof/>
                <w:webHidden/>
              </w:rPr>
            </w:r>
            <w:r>
              <w:rPr>
                <w:noProof/>
                <w:webHidden/>
              </w:rPr>
              <w:fldChar w:fldCharType="separate"/>
            </w:r>
            <w:r>
              <w:rPr>
                <w:noProof/>
                <w:webHidden/>
              </w:rPr>
              <w:t>5</w:t>
            </w:r>
            <w:r>
              <w:rPr>
                <w:noProof/>
                <w:webHidden/>
              </w:rPr>
              <w:fldChar w:fldCharType="end"/>
            </w:r>
          </w:hyperlink>
        </w:p>
        <w:p w14:paraId="600E772D" w14:textId="73C03DE7"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51" w:history="1">
            <w:r w:rsidRPr="0057142A">
              <w:rPr>
                <w:rStyle w:val="Hyperlink"/>
                <w:noProof/>
              </w:rPr>
              <w:t>Subject external examiner – appointment criteria</w:t>
            </w:r>
            <w:r>
              <w:rPr>
                <w:noProof/>
                <w:webHidden/>
              </w:rPr>
              <w:tab/>
            </w:r>
            <w:r>
              <w:rPr>
                <w:noProof/>
                <w:webHidden/>
              </w:rPr>
              <w:fldChar w:fldCharType="begin"/>
            </w:r>
            <w:r>
              <w:rPr>
                <w:noProof/>
                <w:webHidden/>
              </w:rPr>
              <w:instrText xml:space="preserve"> PAGEREF _Toc203731651 \h </w:instrText>
            </w:r>
            <w:r>
              <w:rPr>
                <w:noProof/>
                <w:webHidden/>
              </w:rPr>
            </w:r>
            <w:r>
              <w:rPr>
                <w:noProof/>
                <w:webHidden/>
              </w:rPr>
              <w:fldChar w:fldCharType="separate"/>
            </w:r>
            <w:r>
              <w:rPr>
                <w:noProof/>
                <w:webHidden/>
              </w:rPr>
              <w:t>5</w:t>
            </w:r>
            <w:r>
              <w:rPr>
                <w:noProof/>
                <w:webHidden/>
              </w:rPr>
              <w:fldChar w:fldCharType="end"/>
            </w:r>
          </w:hyperlink>
        </w:p>
        <w:p w14:paraId="25FEE0AD" w14:textId="4D642E23"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52" w:history="1">
            <w:r w:rsidRPr="0057142A">
              <w:rPr>
                <w:rStyle w:val="Hyperlink"/>
                <w:noProof/>
              </w:rPr>
              <w:t>Where a proposed subject external examiner has no UK HEI external examining experience</w:t>
            </w:r>
            <w:r>
              <w:rPr>
                <w:noProof/>
                <w:webHidden/>
              </w:rPr>
              <w:tab/>
            </w:r>
            <w:r>
              <w:rPr>
                <w:noProof/>
                <w:webHidden/>
              </w:rPr>
              <w:fldChar w:fldCharType="begin"/>
            </w:r>
            <w:r>
              <w:rPr>
                <w:noProof/>
                <w:webHidden/>
              </w:rPr>
              <w:instrText xml:space="preserve"> PAGEREF _Toc203731652 \h </w:instrText>
            </w:r>
            <w:r>
              <w:rPr>
                <w:noProof/>
                <w:webHidden/>
              </w:rPr>
            </w:r>
            <w:r>
              <w:rPr>
                <w:noProof/>
                <w:webHidden/>
              </w:rPr>
              <w:fldChar w:fldCharType="separate"/>
            </w:r>
            <w:r>
              <w:rPr>
                <w:noProof/>
                <w:webHidden/>
              </w:rPr>
              <w:t>6</w:t>
            </w:r>
            <w:r>
              <w:rPr>
                <w:noProof/>
                <w:webHidden/>
              </w:rPr>
              <w:fldChar w:fldCharType="end"/>
            </w:r>
          </w:hyperlink>
        </w:p>
        <w:p w14:paraId="3DFE12D5" w14:textId="3E26AEA5"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53" w:history="1">
            <w:r w:rsidRPr="0057142A">
              <w:rPr>
                <w:rStyle w:val="Hyperlink"/>
                <w:noProof/>
              </w:rPr>
              <w:t>Composition of a subject external examiner team where required for PSRB requirements.</w:t>
            </w:r>
            <w:r>
              <w:rPr>
                <w:noProof/>
                <w:webHidden/>
              </w:rPr>
              <w:tab/>
            </w:r>
            <w:r>
              <w:rPr>
                <w:noProof/>
                <w:webHidden/>
              </w:rPr>
              <w:fldChar w:fldCharType="begin"/>
            </w:r>
            <w:r>
              <w:rPr>
                <w:noProof/>
                <w:webHidden/>
              </w:rPr>
              <w:instrText xml:space="preserve"> PAGEREF _Toc203731653 \h </w:instrText>
            </w:r>
            <w:r>
              <w:rPr>
                <w:noProof/>
                <w:webHidden/>
              </w:rPr>
            </w:r>
            <w:r>
              <w:rPr>
                <w:noProof/>
                <w:webHidden/>
              </w:rPr>
              <w:fldChar w:fldCharType="separate"/>
            </w:r>
            <w:r>
              <w:rPr>
                <w:noProof/>
                <w:webHidden/>
              </w:rPr>
              <w:t>7</w:t>
            </w:r>
            <w:r>
              <w:rPr>
                <w:noProof/>
                <w:webHidden/>
              </w:rPr>
              <w:fldChar w:fldCharType="end"/>
            </w:r>
          </w:hyperlink>
        </w:p>
        <w:p w14:paraId="572541E1" w14:textId="3A44E556"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54" w:history="1">
            <w:r w:rsidRPr="0057142A">
              <w:rPr>
                <w:rStyle w:val="Hyperlink"/>
                <w:noProof/>
              </w:rPr>
              <w:t>Appointing subject external examiners to franchised and validated provision</w:t>
            </w:r>
            <w:r>
              <w:rPr>
                <w:noProof/>
                <w:webHidden/>
              </w:rPr>
              <w:tab/>
            </w:r>
            <w:r>
              <w:rPr>
                <w:noProof/>
                <w:webHidden/>
              </w:rPr>
              <w:fldChar w:fldCharType="begin"/>
            </w:r>
            <w:r>
              <w:rPr>
                <w:noProof/>
                <w:webHidden/>
              </w:rPr>
              <w:instrText xml:space="preserve"> PAGEREF _Toc203731654 \h </w:instrText>
            </w:r>
            <w:r>
              <w:rPr>
                <w:noProof/>
                <w:webHidden/>
              </w:rPr>
            </w:r>
            <w:r>
              <w:rPr>
                <w:noProof/>
                <w:webHidden/>
              </w:rPr>
              <w:fldChar w:fldCharType="separate"/>
            </w:r>
            <w:r>
              <w:rPr>
                <w:noProof/>
                <w:webHidden/>
              </w:rPr>
              <w:t>7</w:t>
            </w:r>
            <w:r>
              <w:rPr>
                <w:noProof/>
                <w:webHidden/>
              </w:rPr>
              <w:fldChar w:fldCharType="end"/>
            </w:r>
          </w:hyperlink>
        </w:p>
        <w:p w14:paraId="4B5D4009" w14:textId="44EC6AF0"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55" w:history="1">
            <w:r w:rsidRPr="0057142A">
              <w:rPr>
                <w:rStyle w:val="Hyperlink"/>
                <w:noProof/>
              </w:rPr>
              <w:t>Procedure for the appointment of subject external examiners</w:t>
            </w:r>
            <w:r>
              <w:rPr>
                <w:noProof/>
                <w:webHidden/>
              </w:rPr>
              <w:tab/>
            </w:r>
            <w:r>
              <w:rPr>
                <w:noProof/>
                <w:webHidden/>
              </w:rPr>
              <w:fldChar w:fldCharType="begin"/>
            </w:r>
            <w:r>
              <w:rPr>
                <w:noProof/>
                <w:webHidden/>
              </w:rPr>
              <w:instrText xml:space="preserve"> PAGEREF _Toc203731655 \h </w:instrText>
            </w:r>
            <w:r>
              <w:rPr>
                <w:noProof/>
                <w:webHidden/>
              </w:rPr>
            </w:r>
            <w:r>
              <w:rPr>
                <w:noProof/>
                <w:webHidden/>
              </w:rPr>
              <w:fldChar w:fldCharType="separate"/>
            </w:r>
            <w:r>
              <w:rPr>
                <w:noProof/>
                <w:webHidden/>
              </w:rPr>
              <w:t>7</w:t>
            </w:r>
            <w:r>
              <w:rPr>
                <w:noProof/>
                <w:webHidden/>
              </w:rPr>
              <w:fldChar w:fldCharType="end"/>
            </w:r>
          </w:hyperlink>
        </w:p>
        <w:p w14:paraId="536E774E" w14:textId="06FB2737"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56" w:history="1">
            <w:r w:rsidRPr="0057142A">
              <w:rPr>
                <w:rStyle w:val="Hyperlink"/>
                <w:noProof/>
              </w:rPr>
              <w:t>PAB external examiner – appointment criteria</w:t>
            </w:r>
            <w:r>
              <w:rPr>
                <w:noProof/>
                <w:webHidden/>
              </w:rPr>
              <w:tab/>
            </w:r>
            <w:r>
              <w:rPr>
                <w:noProof/>
                <w:webHidden/>
              </w:rPr>
              <w:fldChar w:fldCharType="begin"/>
            </w:r>
            <w:r>
              <w:rPr>
                <w:noProof/>
                <w:webHidden/>
              </w:rPr>
              <w:instrText xml:space="preserve"> PAGEREF _Toc203731656 \h </w:instrText>
            </w:r>
            <w:r>
              <w:rPr>
                <w:noProof/>
                <w:webHidden/>
              </w:rPr>
            </w:r>
            <w:r>
              <w:rPr>
                <w:noProof/>
                <w:webHidden/>
              </w:rPr>
              <w:fldChar w:fldCharType="separate"/>
            </w:r>
            <w:r>
              <w:rPr>
                <w:noProof/>
                <w:webHidden/>
              </w:rPr>
              <w:t>9</w:t>
            </w:r>
            <w:r>
              <w:rPr>
                <w:noProof/>
                <w:webHidden/>
              </w:rPr>
              <w:fldChar w:fldCharType="end"/>
            </w:r>
          </w:hyperlink>
        </w:p>
        <w:p w14:paraId="4FE3C39A" w14:textId="33EA94F6"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57" w:history="1">
            <w:r w:rsidRPr="0057142A">
              <w:rPr>
                <w:rStyle w:val="Hyperlink"/>
                <w:noProof/>
              </w:rPr>
              <w:t>Procedure for the appointment of PAB external examiners</w:t>
            </w:r>
            <w:r>
              <w:rPr>
                <w:noProof/>
                <w:webHidden/>
              </w:rPr>
              <w:tab/>
            </w:r>
            <w:r>
              <w:rPr>
                <w:noProof/>
                <w:webHidden/>
              </w:rPr>
              <w:fldChar w:fldCharType="begin"/>
            </w:r>
            <w:r>
              <w:rPr>
                <w:noProof/>
                <w:webHidden/>
              </w:rPr>
              <w:instrText xml:space="preserve"> PAGEREF _Toc203731657 \h </w:instrText>
            </w:r>
            <w:r>
              <w:rPr>
                <w:noProof/>
                <w:webHidden/>
              </w:rPr>
            </w:r>
            <w:r>
              <w:rPr>
                <w:noProof/>
                <w:webHidden/>
              </w:rPr>
              <w:fldChar w:fldCharType="separate"/>
            </w:r>
            <w:r>
              <w:rPr>
                <w:noProof/>
                <w:webHidden/>
              </w:rPr>
              <w:t>9</w:t>
            </w:r>
            <w:r>
              <w:rPr>
                <w:noProof/>
                <w:webHidden/>
              </w:rPr>
              <w:fldChar w:fldCharType="end"/>
            </w:r>
          </w:hyperlink>
        </w:p>
        <w:p w14:paraId="6FD3C3BC" w14:textId="267A7066"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58" w:history="1">
            <w:r w:rsidRPr="0057142A">
              <w:rPr>
                <w:rStyle w:val="Hyperlink"/>
                <w:noProof/>
              </w:rPr>
              <w:t>HDA external examiner – appointment criteria</w:t>
            </w:r>
            <w:r>
              <w:rPr>
                <w:noProof/>
                <w:webHidden/>
              </w:rPr>
              <w:tab/>
            </w:r>
            <w:r>
              <w:rPr>
                <w:noProof/>
                <w:webHidden/>
              </w:rPr>
              <w:fldChar w:fldCharType="begin"/>
            </w:r>
            <w:r>
              <w:rPr>
                <w:noProof/>
                <w:webHidden/>
              </w:rPr>
              <w:instrText xml:space="preserve"> PAGEREF _Toc203731658 \h </w:instrText>
            </w:r>
            <w:r>
              <w:rPr>
                <w:noProof/>
                <w:webHidden/>
              </w:rPr>
            </w:r>
            <w:r>
              <w:rPr>
                <w:noProof/>
                <w:webHidden/>
              </w:rPr>
              <w:fldChar w:fldCharType="separate"/>
            </w:r>
            <w:r>
              <w:rPr>
                <w:noProof/>
                <w:webHidden/>
              </w:rPr>
              <w:t>9</w:t>
            </w:r>
            <w:r>
              <w:rPr>
                <w:noProof/>
                <w:webHidden/>
              </w:rPr>
              <w:fldChar w:fldCharType="end"/>
            </w:r>
          </w:hyperlink>
        </w:p>
        <w:p w14:paraId="2A08E681" w14:textId="5C4E8C38"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59" w:history="1">
            <w:r w:rsidRPr="0057142A">
              <w:rPr>
                <w:rStyle w:val="Hyperlink"/>
                <w:noProof/>
              </w:rPr>
              <w:t>Procedure for the appointment of HDA external examiners</w:t>
            </w:r>
            <w:r>
              <w:rPr>
                <w:noProof/>
                <w:webHidden/>
              </w:rPr>
              <w:tab/>
            </w:r>
            <w:r>
              <w:rPr>
                <w:noProof/>
                <w:webHidden/>
              </w:rPr>
              <w:fldChar w:fldCharType="begin"/>
            </w:r>
            <w:r>
              <w:rPr>
                <w:noProof/>
                <w:webHidden/>
              </w:rPr>
              <w:instrText xml:space="preserve"> PAGEREF _Toc203731659 \h </w:instrText>
            </w:r>
            <w:r>
              <w:rPr>
                <w:noProof/>
                <w:webHidden/>
              </w:rPr>
            </w:r>
            <w:r>
              <w:rPr>
                <w:noProof/>
                <w:webHidden/>
              </w:rPr>
              <w:fldChar w:fldCharType="separate"/>
            </w:r>
            <w:r>
              <w:rPr>
                <w:noProof/>
                <w:webHidden/>
              </w:rPr>
              <w:t>10</w:t>
            </w:r>
            <w:r>
              <w:rPr>
                <w:noProof/>
                <w:webHidden/>
              </w:rPr>
              <w:fldChar w:fldCharType="end"/>
            </w:r>
          </w:hyperlink>
        </w:p>
        <w:p w14:paraId="327FA939" w14:textId="5847548C"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60" w:history="1">
            <w:r w:rsidRPr="0057142A">
              <w:rPr>
                <w:rStyle w:val="Hyperlink"/>
                <w:noProof/>
              </w:rPr>
              <w:t>Conflicts of Interest</w:t>
            </w:r>
            <w:r>
              <w:rPr>
                <w:noProof/>
                <w:webHidden/>
              </w:rPr>
              <w:tab/>
            </w:r>
            <w:r>
              <w:rPr>
                <w:noProof/>
                <w:webHidden/>
              </w:rPr>
              <w:fldChar w:fldCharType="begin"/>
            </w:r>
            <w:r>
              <w:rPr>
                <w:noProof/>
                <w:webHidden/>
              </w:rPr>
              <w:instrText xml:space="preserve"> PAGEREF _Toc203731660 \h </w:instrText>
            </w:r>
            <w:r>
              <w:rPr>
                <w:noProof/>
                <w:webHidden/>
              </w:rPr>
            </w:r>
            <w:r>
              <w:rPr>
                <w:noProof/>
                <w:webHidden/>
              </w:rPr>
              <w:fldChar w:fldCharType="separate"/>
            </w:r>
            <w:r>
              <w:rPr>
                <w:noProof/>
                <w:webHidden/>
              </w:rPr>
              <w:t>10</w:t>
            </w:r>
            <w:r>
              <w:rPr>
                <w:noProof/>
                <w:webHidden/>
              </w:rPr>
              <w:fldChar w:fldCharType="end"/>
            </w:r>
          </w:hyperlink>
        </w:p>
        <w:p w14:paraId="668BB8AF" w14:textId="1FF51036"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61" w:history="1">
            <w:r w:rsidRPr="0057142A">
              <w:rPr>
                <w:rStyle w:val="Hyperlink"/>
                <w:noProof/>
              </w:rPr>
              <w:t>Termination of Appointment</w:t>
            </w:r>
            <w:r>
              <w:rPr>
                <w:noProof/>
                <w:webHidden/>
              </w:rPr>
              <w:tab/>
            </w:r>
            <w:r>
              <w:rPr>
                <w:noProof/>
                <w:webHidden/>
              </w:rPr>
              <w:fldChar w:fldCharType="begin"/>
            </w:r>
            <w:r>
              <w:rPr>
                <w:noProof/>
                <w:webHidden/>
              </w:rPr>
              <w:instrText xml:space="preserve"> PAGEREF _Toc203731661 \h </w:instrText>
            </w:r>
            <w:r>
              <w:rPr>
                <w:noProof/>
                <w:webHidden/>
              </w:rPr>
            </w:r>
            <w:r>
              <w:rPr>
                <w:noProof/>
                <w:webHidden/>
              </w:rPr>
              <w:fldChar w:fldCharType="separate"/>
            </w:r>
            <w:r>
              <w:rPr>
                <w:noProof/>
                <w:webHidden/>
              </w:rPr>
              <w:t>11</w:t>
            </w:r>
            <w:r>
              <w:rPr>
                <w:noProof/>
                <w:webHidden/>
              </w:rPr>
              <w:fldChar w:fldCharType="end"/>
            </w:r>
          </w:hyperlink>
        </w:p>
        <w:p w14:paraId="19390EA2" w14:textId="06D1F496" w:rsidR="003712A6" w:rsidRDefault="003712A6">
          <w:pPr>
            <w:pStyle w:val="TOC2"/>
            <w:rPr>
              <w:rFonts w:asciiTheme="minorHAnsi" w:eastAsiaTheme="minorEastAsia" w:hAnsiTheme="minorHAnsi"/>
              <w:noProof/>
              <w:kern w:val="2"/>
              <w:szCs w:val="24"/>
              <w:lang w:eastAsia="en-GB"/>
              <w14:ligatures w14:val="standardContextual"/>
            </w:rPr>
          </w:pPr>
          <w:hyperlink w:anchor="_Toc203731662" w:history="1">
            <w:r w:rsidRPr="0057142A">
              <w:rPr>
                <w:rStyle w:val="Hyperlink"/>
                <w:noProof/>
              </w:rPr>
              <w:t>External Examiners’ Induction</w:t>
            </w:r>
            <w:r>
              <w:rPr>
                <w:noProof/>
                <w:webHidden/>
              </w:rPr>
              <w:tab/>
            </w:r>
            <w:r>
              <w:rPr>
                <w:noProof/>
                <w:webHidden/>
              </w:rPr>
              <w:fldChar w:fldCharType="begin"/>
            </w:r>
            <w:r>
              <w:rPr>
                <w:noProof/>
                <w:webHidden/>
              </w:rPr>
              <w:instrText xml:space="preserve"> PAGEREF _Toc203731662 \h </w:instrText>
            </w:r>
            <w:r>
              <w:rPr>
                <w:noProof/>
                <w:webHidden/>
              </w:rPr>
            </w:r>
            <w:r>
              <w:rPr>
                <w:noProof/>
                <w:webHidden/>
              </w:rPr>
              <w:fldChar w:fldCharType="separate"/>
            </w:r>
            <w:r>
              <w:rPr>
                <w:noProof/>
                <w:webHidden/>
              </w:rPr>
              <w:t>12</w:t>
            </w:r>
            <w:r>
              <w:rPr>
                <w:noProof/>
                <w:webHidden/>
              </w:rPr>
              <w:fldChar w:fldCharType="end"/>
            </w:r>
          </w:hyperlink>
        </w:p>
        <w:p w14:paraId="3CF31666" w14:textId="47572CD7" w:rsidR="003712A6" w:rsidRDefault="003712A6">
          <w:pPr>
            <w:pStyle w:val="TOC2"/>
            <w:rPr>
              <w:rFonts w:asciiTheme="minorHAnsi" w:eastAsiaTheme="minorEastAsia" w:hAnsiTheme="minorHAnsi"/>
              <w:noProof/>
              <w:kern w:val="2"/>
              <w:szCs w:val="24"/>
              <w:lang w:eastAsia="en-GB"/>
              <w14:ligatures w14:val="standardContextual"/>
            </w:rPr>
          </w:pPr>
          <w:hyperlink w:anchor="_Toc203731663" w:history="1">
            <w:r w:rsidRPr="0057142A">
              <w:rPr>
                <w:rStyle w:val="Hyperlink"/>
                <w:noProof/>
              </w:rPr>
              <w:t>Subject External Examiner Audit</w:t>
            </w:r>
            <w:r>
              <w:rPr>
                <w:noProof/>
                <w:webHidden/>
              </w:rPr>
              <w:tab/>
            </w:r>
            <w:r>
              <w:rPr>
                <w:noProof/>
                <w:webHidden/>
              </w:rPr>
              <w:fldChar w:fldCharType="begin"/>
            </w:r>
            <w:r>
              <w:rPr>
                <w:noProof/>
                <w:webHidden/>
              </w:rPr>
              <w:instrText xml:space="preserve"> PAGEREF _Toc203731663 \h </w:instrText>
            </w:r>
            <w:r>
              <w:rPr>
                <w:noProof/>
                <w:webHidden/>
              </w:rPr>
            </w:r>
            <w:r>
              <w:rPr>
                <w:noProof/>
                <w:webHidden/>
              </w:rPr>
              <w:fldChar w:fldCharType="separate"/>
            </w:r>
            <w:r>
              <w:rPr>
                <w:noProof/>
                <w:webHidden/>
              </w:rPr>
              <w:t>12</w:t>
            </w:r>
            <w:r>
              <w:rPr>
                <w:noProof/>
                <w:webHidden/>
              </w:rPr>
              <w:fldChar w:fldCharType="end"/>
            </w:r>
          </w:hyperlink>
        </w:p>
        <w:p w14:paraId="54AF0DB6" w14:textId="61433226" w:rsidR="003712A6" w:rsidRDefault="003712A6">
          <w:pPr>
            <w:pStyle w:val="TOC2"/>
            <w:rPr>
              <w:rFonts w:asciiTheme="minorHAnsi" w:eastAsiaTheme="minorEastAsia" w:hAnsiTheme="minorHAnsi"/>
              <w:noProof/>
              <w:kern w:val="2"/>
              <w:szCs w:val="24"/>
              <w:lang w:eastAsia="en-GB"/>
              <w14:ligatures w14:val="standardContextual"/>
            </w:rPr>
          </w:pPr>
          <w:hyperlink w:anchor="_Toc203731664" w:history="1">
            <w:r w:rsidRPr="0057142A">
              <w:rPr>
                <w:rStyle w:val="Hyperlink"/>
                <w:noProof/>
              </w:rPr>
              <w:t>External Examiner Annual Reports</w:t>
            </w:r>
            <w:r>
              <w:rPr>
                <w:noProof/>
                <w:webHidden/>
              </w:rPr>
              <w:tab/>
            </w:r>
            <w:r>
              <w:rPr>
                <w:noProof/>
                <w:webHidden/>
              </w:rPr>
              <w:fldChar w:fldCharType="begin"/>
            </w:r>
            <w:r>
              <w:rPr>
                <w:noProof/>
                <w:webHidden/>
              </w:rPr>
              <w:instrText xml:space="preserve"> PAGEREF _Toc203731664 \h </w:instrText>
            </w:r>
            <w:r>
              <w:rPr>
                <w:noProof/>
                <w:webHidden/>
              </w:rPr>
            </w:r>
            <w:r>
              <w:rPr>
                <w:noProof/>
                <w:webHidden/>
              </w:rPr>
              <w:fldChar w:fldCharType="separate"/>
            </w:r>
            <w:r>
              <w:rPr>
                <w:noProof/>
                <w:webHidden/>
              </w:rPr>
              <w:t>13</w:t>
            </w:r>
            <w:r>
              <w:rPr>
                <w:noProof/>
                <w:webHidden/>
              </w:rPr>
              <w:fldChar w:fldCharType="end"/>
            </w:r>
          </w:hyperlink>
        </w:p>
        <w:p w14:paraId="5AADE3F8" w14:textId="0537D83E" w:rsidR="003712A6" w:rsidRDefault="003712A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3731665" w:history="1">
            <w:r w:rsidRPr="0057142A">
              <w:rPr>
                <w:rStyle w:val="Hyperlink"/>
                <w:noProof/>
              </w:rPr>
              <w:t>Feedback to external examiners</w:t>
            </w:r>
            <w:r>
              <w:rPr>
                <w:noProof/>
                <w:webHidden/>
              </w:rPr>
              <w:tab/>
            </w:r>
            <w:r>
              <w:rPr>
                <w:noProof/>
                <w:webHidden/>
              </w:rPr>
              <w:fldChar w:fldCharType="begin"/>
            </w:r>
            <w:r>
              <w:rPr>
                <w:noProof/>
                <w:webHidden/>
              </w:rPr>
              <w:instrText xml:space="preserve"> PAGEREF _Toc203731665 \h </w:instrText>
            </w:r>
            <w:r>
              <w:rPr>
                <w:noProof/>
                <w:webHidden/>
              </w:rPr>
            </w:r>
            <w:r>
              <w:rPr>
                <w:noProof/>
                <w:webHidden/>
              </w:rPr>
              <w:fldChar w:fldCharType="separate"/>
            </w:r>
            <w:r>
              <w:rPr>
                <w:noProof/>
                <w:webHidden/>
              </w:rPr>
              <w:t>14</w:t>
            </w:r>
            <w:r>
              <w:rPr>
                <w:noProof/>
                <w:webHidden/>
              </w:rPr>
              <w:fldChar w:fldCharType="end"/>
            </w:r>
          </w:hyperlink>
        </w:p>
        <w:p w14:paraId="10E0E929" w14:textId="5C0F8DAA" w:rsidR="29DAE4F7" w:rsidRDefault="29DAE4F7" w:rsidP="00B815B9">
          <w:pPr>
            <w:pStyle w:val="TOC3"/>
            <w:tabs>
              <w:tab w:val="right" w:leader="dot" w:pos="9015"/>
            </w:tabs>
            <w:spacing w:after="0" w:line="240" w:lineRule="auto"/>
            <w:rPr>
              <w:rStyle w:val="Hyperlink"/>
            </w:rPr>
          </w:pPr>
          <w:r>
            <w:lastRenderedPageBreak/>
            <w:fldChar w:fldCharType="end"/>
          </w:r>
        </w:p>
      </w:sdtContent>
    </w:sdt>
    <w:p w14:paraId="5DE7FFCB" w14:textId="2E56B4B3" w:rsidR="00A33A6C" w:rsidRPr="00A33A6C" w:rsidRDefault="00A33A6C" w:rsidP="00BD1EEB">
      <w:pPr>
        <w:spacing w:line="240" w:lineRule="auto"/>
      </w:pPr>
    </w:p>
    <w:p w14:paraId="7F05FCAE" w14:textId="406EBDFE" w:rsidR="00854463" w:rsidRPr="00E20B40" w:rsidRDefault="00854463" w:rsidP="00BD1EEB">
      <w:pPr>
        <w:pStyle w:val="Heading2"/>
      </w:pPr>
      <w:bookmarkStart w:id="5" w:name="_Toc203731640"/>
      <w:r>
        <w:t>Forms and Templates</w:t>
      </w:r>
      <w:bookmarkEnd w:id="2"/>
      <w:bookmarkEnd w:id="5"/>
    </w:p>
    <w:tbl>
      <w:tblPr>
        <w:tblStyle w:val="TableGrid"/>
        <w:tblW w:w="0" w:type="auto"/>
        <w:jc w:val="center"/>
        <w:tblLook w:val="04A0" w:firstRow="1" w:lastRow="0" w:firstColumn="1" w:lastColumn="0" w:noHBand="0" w:noVBand="1"/>
      </w:tblPr>
      <w:tblGrid>
        <w:gridCol w:w="1413"/>
        <w:gridCol w:w="7603"/>
      </w:tblGrid>
      <w:tr w:rsidR="00A33A6C" w14:paraId="017DF36D" w14:textId="77777777" w:rsidTr="00BD1EEB">
        <w:trPr>
          <w:jc w:val="center"/>
        </w:trPr>
        <w:tc>
          <w:tcPr>
            <w:tcW w:w="1413" w:type="dxa"/>
          </w:tcPr>
          <w:p w14:paraId="3D99434A" w14:textId="0920319D" w:rsidR="00A33A6C" w:rsidRDefault="00B41719" w:rsidP="00BD1EEB">
            <w:pPr>
              <w:spacing w:line="240" w:lineRule="auto"/>
            </w:pPr>
            <w:bookmarkStart w:id="6" w:name="_Toc97630753"/>
            <w:r>
              <w:t>I</w:t>
            </w:r>
            <w:r w:rsidR="00A33A6C">
              <w:t>1</w:t>
            </w:r>
          </w:p>
        </w:tc>
        <w:tc>
          <w:tcPr>
            <w:tcW w:w="7603" w:type="dxa"/>
          </w:tcPr>
          <w:p w14:paraId="3BB74925" w14:textId="35F84E06" w:rsidR="00A33A6C" w:rsidRDefault="5A7632DC" w:rsidP="00BD1EEB">
            <w:pPr>
              <w:spacing w:line="240" w:lineRule="auto"/>
            </w:pPr>
            <w:r w:rsidRPr="5FAEE69A">
              <w:rPr>
                <w:rFonts w:cs="Arial"/>
                <w:noProof/>
              </w:rPr>
              <w:t>Subject External Examiner Nomination Form</w:t>
            </w:r>
          </w:p>
        </w:tc>
      </w:tr>
      <w:tr w:rsidR="00A33A6C" w14:paraId="48615335" w14:textId="77777777" w:rsidTr="00BD1EEB">
        <w:trPr>
          <w:jc w:val="center"/>
        </w:trPr>
        <w:tc>
          <w:tcPr>
            <w:tcW w:w="1413" w:type="dxa"/>
          </w:tcPr>
          <w:p w14:paraId="57F04E0D" w14:textId="5789850B" w:rsidR="00A33A6C" w:rsidRDefault="00B41719" w:rsidP="00BD1EEB">
            <w:pPr>
              <w:spacing w:line="240" w:lineRule="auto"/>
            </w:pPr>
            <w:r>
              <w:t>I</w:t>
            </w:r>
            <w:r w:rsidR="00A33A6C">
              <w:t>2</w:t>
            </w:r>
          </w:p>
        </w:tc>
        <w:tc>
          <w:tcPr>
            <w:tcW w:w="7603" w:type="dxa"/>
          </w:tcPr>
          <w:p w14:paraId="38EF1E11" w14:textId="1A510C89" w:rsidR="00A33A6C" w:rsidRPr="00854463" w:rsidRDefault="5A7632DC" w:rsidP="00BD1EEB">
            <w:pPr>
              <w:tabs>
                <w:tab w:val="left" w:pos="1134"/>
                <w:tab w:val="right" w:pos="9027"/>
              </w:tabs>
              <w:spacing w:line="240" w:lineRule="auto"/>
              <w:rPr>
                <w:rFonts w:cs="Arial"/>
                <w:noProof/>
              </w:rPr>
            </w:pPr>
            <w:r w:rsidRPr="5FAEE69A">
              <w:rPr>
                <w:rFonts w:cs="Arial"/>
                <w:noProof/>
              </w:rPr>
              <w:t>Subject External Examiner Additional Duties</w:t>
            </w:r>
            <w:r w:rsidR="00694C28">
              <w:rPr>
                <w:rFonts w:cs="Arial"/>
                <w:noProof/>
              </w:rPr>
              <w:t xml:space="preserve"> or Extension</w:t>
            </w:r>
            <w:r w:rsidRPr="5FAEE69A">
              <w:rPr>
                <w:rFonts w:cs="Arial"/>
                <w:noProof/>
              </w:rPr>
              <w:t xml:space="preserve"> Form</w:t>
            </w:r>
          </w:p>
        </w:tc>
      </w:tr>
      <w:tr w:rsidR="00A33A6C" w14:paraId="5760EB25" w14:textId="77777777" w:rsidTr="00BD1EEB">
        <w:trPr>
          <w:jc w:val="center"/>
        </w:trPr>
        <w:tc>
          <w:tcPr>
            <w:tcW w:w="1413" w:type="dxa"/>
          </w:tcPr>
          <w:p w14:paraId="58C1FAB5" w14:textId="13B1D0B4" w:rsidR="00A33A6C" w:rsidRDefault="00B41719" w:rsidP="00BD1EEB">
            <w:pPr>
              <w:spacing w:line="240" w:lineRule="auto"/>
            </w:pPr>
            <w:r>
              <w:t>I</w:t>
            </w:r>
            <w:r w:rsidR="00A33A6C">
              <w:t>3</w:t>
            </w:r>
          </w:p>
        </w:tc>
        <w:tc>
          <w:tcPr>
            <w:tcW w:w="7603" w:type="dxa"/>
          </w:tcPr>
          <w:p w14:paraId="24BBE585" w14:textId="77777777" w:rsidR="00A33A6C" w:rsidRPr="00854463" w:rsidRDefault="00A33A6C" w:rsidP="00BD1EEB">
            <w:pPr>
              <w:tabs>
                <w:tab w:val="left" w:pos="1134"/>
                <w:tab w:val="right" w:pos="9027"/>
              </w:tabs>
              <w:spacing w:line="240" w:lineRule="auto"/>
              <w:rPr>
                <w:rFonts w:cs="Arial"/>
                <w:noProof/>
                <w:szCs w:val="24"/>
              </w:rPr>
            </w:pPr>
            <w:r>
              <w:rPr>
                <w:rFonts w:cs="Arial"/>
                <w:noProof/>
                <w:szCs w:val="24"/>
              </w:rPr>
              <w:t>Programme Assessment Board External Examiner Nomination Form</w:t>
            </w:r>
          </w:p>
        </w:tc>
      </w:tr>
      <w:tr w:rsidR="00A33A6C" w14:paraId="20F2C377" w14:textId="77777777" w:rsidTr="00BD1EEB">
        <w:trPr>
          <w:jc w:val="center"/>
        </w:trPr>
        <w:tc>
          <w:tcPr>
            <w:tcW w:w="1413" w:type="dxa"/>
          </w:tcPr>
          <w:p w14:paraId="3C29BD63" w14:textId="47C2140A" w:rsidR="00A33A6C" w:rsidRDefault="00B41719" w:rsidP="00BD1EEB">
            <w:pPr>
              <w:spacing w:line="240" w:lineRule="auto"/>
            </w:pPr>
            <w:r>
              <w:t>I</w:t>
            </w:r>
            <w:r w:rsidR="00A33A6C">
              <w:t>4</w:t>
            </w:r>
          </w:p>
        </w:tc>
        <w:tc>
          <w:tcPr>
            <w:tcW w:w="7603" w:type="dxa"/>
          </w:tcPr>
          <w:p w14:paraId="28535BBA" w14:textId="7BFDD1CD" w:rsidR="00A33A6C" w:rsidRPr="00854463" w:rsidRDefault="00437527" w:rsidP="00BD1EEB">
            <w:pPr>
              <w:tabs>
                <w:tab w:val="left" w:pos="1134"/>
                <w:tab w:val="right" w:pos="9027"/>
              </w:tabs>
              <w:spacing w:line="240" w:lineRule="auto"/>
              <w:rPr>
                <w:rFonts w:cs="Arial"/>
                <w:noProof/>
                <w:szCs w:val="24"/>
              </w:rPr>
            </w:pPr>
            <w:r>
              <w:rPr>
                <w:rFonts w:cs="Arial"/>
                <w:noProof/>
                <w:szCs w:val="24"/>
              </w:rPr>
              <w:t xml:space="preserve">Higher and Degree Apprentieship </w:t>
            </w:r>
            <w:r w:rsidR="00A33A6C" w:rsidRPr="00C20A58">
              <w:rPr>
                <w:rFonts w:cs="Arial"/>
                <w:noProof/>
                <w:szCs w:val="24"/>
              </w:rPr>
              <w:t xml:space="preserve">External Examiner </w:t>
            </w:r>
            <w:r w:rsidR="0020517E">
              <w:rPr>
                <w:rFonts w:cs="Arial"/>
                <w:noProof/>
                <w:szCs w:val="24"/>
              </w:rPr>
              <w:t>Nomination Form</w:t>
            </w:r>
          </w:p>
        </w:tc>
      </w:tr>
      <w:tr w:rsidR="007E3B2D" w14:paraId="16E184E2" w14:textId="77777777" w:rsidTr="00BD1EEB">
        <w:trPr>
          <w:jc w:val="center"/>
        </w:trPr>
        <w:tc>
          <w:tcPr>
            <w:tcW w:w="1413" w:type="dxa"/>
          </w:tcPr>
          <w:p w14:paraId="223E5BC6" w14:textId="5C3630D3" w:rsidR="001E5B1F" w:rsidRDefault="001E5B1F" w:rsidP="00BD1EEB">
            <w:pPr>
              <w:spacing w:line="240" w:lineRule="auto"/>
            </w:pPr>
            <w:r>
              <w:t>I5</w:t>
            </w:r>
          </w:p>
        </w:tc>
        <w:tc>
          <w:tcPr>
            <w:tcW w:w="7603" w:type="dxa"/>
          </w:tcPr>
          <w:p w14:paraId="4D537CA4" w14:textId="2D1397EB" w:rsidR="007E3B2D" w:rsidRDefault="007E3B2D" w:rsidP="00BD1EEB">
            <w:pPr>
              <w:tabs>
                <w:tab w:val="left" w:pos="1134"/>
                <w:tab w:val="right" w:pos="9027"/>
              </w:tabs>
              <w:spacing w:line="240" w:lineRule="auto"/>
              <w:rPr>
                <w:rFonts w:cs="Arial"/>
                <w:noProof/>
                <w:szCs w:val="24"/>
              </w:rPr>
            </w:pPr>
            <w:r>
              <w:rPr>
                <w:rFonts w:cs="Arial"/>
                <w:noProof/>
                <w:szCs w:val="24"/>
              </w:rPr>
              <w:t>Programme Assessment Board</w:t>
            </w:r>
            <w:r w:rsidR="001A7FF2">
              <w:rPr>
                <w:rFonts w:cs="Arial"/>
                <w:noProof/>
                <w:szCs w:val="24"/>
              </w:rPr>
              <w:t xml:space="preserve">/ </w:t>
            </w:r>
            <w:r w:rsidR="001A7FF2">
              <w:rPr>
                <w:rFonts w:cs="Arial"/>
                <w:szCs w:val="24"/>
              </w:rPr>
              <w:t>Higher &amp; Degree Apprenticeship</w:t>
            </w:r>
            <w:r>
              <w:rPr>
                <w:rFonts w:cs="Arial"/>
                <w:noProof/>
                <w:szCs w:val="24"/>
              </w:rPr>
              <w:t xml:space="preserve"> External Examiner</w:t>
            </w:r>
            <w:r w:rsidR="00073ACC">
              <w:rPr>
                <w:rFonts w:cs="Arial"/>
                <w:noProof/>
                <w:szCs w:val="24"/>
              </w:rPr>
              <w:t xml:space="preserve"> Response Letter Template</w:t>
            </w:r>
          </w:p>
        </w:tc>
      </w:tr>
      <w:tr w:rsidR="00A33A6C" w14:paraId="685B8044" w14:textId="77777777" w:rsidTr="00BD1EEB">
        <w:trPr>
          <w:jc w:val="center"/>
        </w:trPr>
        <w:tc>
          <w:tcPr>
            <w:tcW w:w="1413" w:type="dxa"/>
          </w:tcPr>
          <w:p w14:paraId="1C417E5B" w14:textId="4D803BC4" w:rsidR="00A33A6C" w:rsidRPr="00583BF7" w:rsidRDefault="001E5B1F" w:rsidP="00BD1EEB">
            <w:pPr>
              <w:spacing w:line="240" w:lineRule="auto"/>
            </w:pPr>
            <w:r w:rsidRPr="00583BF7">
              <w:t>I6</w:t>
            </w:r>
          </w:p>
        </w:tc>
        <w:tc>
          <w:tcPr>
            <w:tcW w:w="7603" w:type="dxa"/>
          </w:tcPr>
          <w:p w14:paraId="17991F89" w14:textId="77777777" w:rsidR="00A33A6C" w:rsidRPr="00854463" w:rsidRDefault="00A33A6C" w:rsidP="00BD1EEB">
            <w:pPr>
              <w:tabs>
                <w:tab w:val="left" w:pos="1134"/>
                <w:tab w:val="right" w:pos="9027"/>
              </w:tabs>
              <w:spacing w:line="240" w:lineRule="auto"/>
              <w:rPr>
                <w:rFonts w:cs="Arial"/>
                <w:noProof/>
                <w:szCs w:val="24"/>
              </w:rPr>
            </w:pPr>
            <w:r>
              <w:rPr>
                <w:rFonts w:cs="Arial"/>
                <w:noProof/>
                <w:szCs w:val="24"/>
              </w:rPr>
              <w:t xml:space="preserve">Subject </w:t>
            </w:r>
            <w:r w:rsidRPr="00C20A58">
              <w:rPr>
                <w:rFonts w:cs="Arial"/>
                <w:noProof/>
                <w:szCs w:val="24"/>
              </w:rPr>
              <w:t xml:space="preserve">External Examiner </w:t>
            </w:r>
            <w:r>
              <w:rPr>
                <w:rFonts w:cs="Arial"/>
                <w:noProof/>
                <w:szCs w:val="24"/>
              </w:rPr>
              <w:t xml:space="preserve">Annual </w:t>
            </w:r>
            <w:r w:rsidRPr="00C20A58">
              <w:rPr>
                <w:rFonts w:cs="Arial"/>
                <w:noProof/>
                <w:szCs w:val="24"/>
              </w:rPr>
              <w:t>Report Form</w:t>
            </w:r>
          </w:p>
        </w:tc>
      </w:tr>
      <w:tr w:rsidR="00A33A6C" w14:paraId="3591604E" w14:textId="77777777" w:rsidTr="00BD1EEB">
        <w:trPr>
          <w:jc w:val="center"/>
        </w:trPr>
        <w:tc>
          <w:tcPr>
            <w:tcW w:w="1413" w:type="dxa"/>
          </w:tcPr>
          <w:p w14:paraId="1954A512" w14:textId="5023A810" w:rsidR="00A33A6C" w:rsidRPr="00583BF7" w:rsidRDefault="00B41719" w:rsidP="00BD1EEB">
            <w:pPr>
              <w:spacing w:line="240" w:lineRule="auto"/>
            </w:pPr>
            <w:r w:rsidRPr="00583BF7">
              <w:t>I</w:t>
            </w:r>
            <w:r w:rsidR="001E5B1F" w:rsidRPr="00583BF7">
              <w:t>7</w:t>
            </w:r>
          </w:p>
        </w:tc>
        <w:tc>
          <w:tcPr>
            <w:tcW w:w="7603" w:type="dxa"/>
          </w:tcPr>
          <w:p w14:paraId="11AC7643" w14:textId="77777777" w:rsidR="00A33A6C" w:rsidRDefault="00A33A6C" w:rsidP="00BD1EEB">
            <w:pPr>
              <w:spacing w:line="240" w:lineRule="auto"/>
              <w:rPr>
                <w:rFonts w:cs="Arial"/>
                <w:szCs w:val="24"/>
              </w:rPr>
            </w:pPr>
            <w:r w:rsidRPr="007414E3">
              <w:rPr>
                <w:rFonts w:cs="Arial"/>
                <w:szCs w:val="24"/>
              </w:rPr>
              <w:t>Programme Assessment Board External Examiner Annual Report Form</w:t>
            </w:r>
          </w:p>
          <w:p w14:paraId="119E801B" w14:textId="77777777" w:rsidR="001D2468" w:rsidRPr="001D2468" w:rsidRDefault="001D2468" w:rsidP="001D2468"/>
          <w:p w14:paraId="5F4D5A63" w14:textId="08A55757" w:rsidR="001D2468" w:rsidRPr="001D2468" w:rsidRDefault="001D2468" w:rsidP="001D2468">
            <w:pPr>
              <w:tabs>
                <w:tab w:val="left" w:pos="3180"/>
              </w:tabs>
            </w:pPr>
            <w:r>
              <w:tab/>
            </w:r>
          </w:p>
        </w:tc>
      </w:tr>
      <w:tr w:rsidR="00BD19F0" w14:paraId="11022798" w14:textId="77777777" w:rsidTr="00BD1EEB">
        <w:trPr>
          <w:jc w:val="center"/>
        </w:trPr>
        <w:tc>
          <w:tcPr>
            <w:tcW w:w="1413" w:type="dxa"/>
          </w:tcPr>
          <w:p w14:paraId="660A9269" w14:textId="6CD6734D" w:rsidR="00BD19F0" w:rsidRPr="00583BF7" w:rsidRDefault="00BD19F0" w:rsidP="00BD1EEB">
            <w:pPr>
              <w:spacing w:line="240" w:lineRule="auto"/>
            </w:pPr>
            <w:r>
              <w:t>I8</w:t>
            </w:r>
          </w:p>
        </w:tc>
        <w:tc>
          <w:tcPr>
            <w:tcW w:w="7603" w:type="dxa"/>
          </w:tcPr>
          <w:p w14:paraId="3E9FBC28" w14:textId="1749BF83" w:rsidR="00BD19F0" w:rsidRPr="007414E3" w:rsidRDefault="00BD19F0" w:rsidP="00BD1EEB">
            <w:pPr>
              <w:spacing w:line="240" w:lineRule="auto"/>
              <w:rPr>
                <w:rFonts w:cs="Arial"/>
                <w:szCs w:val="24"/>
              </w:rPr>
            </w:pPr>
            <w:r>
              <w:rPr>
                <w:rFonts w:cs="Arial"/>
                <w:szCs w:val="24"/>
              </w:rPr>
              <w:t>Higher &amp; Degree Apprenticeship External Examiner Annual Report Form</w:t>
            </w:r>
          </w:p>
        </w:tc>
      </w:tr>
    </w:tbl>
    <w:p w14:paraId="4E20C9A2" w14:textId="77777777" w:rsidR="00BD1EEB" w:rsidRDefault="00BD1EEB" w:rsidP="00BD1EEB">
      <w:pPr>
        <w:pStyle w:val="Heading2"/>
      </w:pPr>
    </w:p>
    <w:p w14:paraId="345A86E1" w14:textId="4C50AD9A" w:rsidR="00854463" w:rsidRPr="00E20B40" w:rsidRDefault="00E20B40" w:rsidP="00BD1EEB">
      <w:pPr>
        <w:pStyle w:val="Heading2"/>
      </w:pPr>
      <w:bookmarkStart w:id="7" w:name="_Toc203731641"/>
      <w:r>
        <w:t>Guidance Documents</w:t>
      </w:r>
      <w:bookmarkEnd w:id="6"/>
      <w:bookmarkEnd w:id="7"/>
    </w:p>
    <w:tbl>
      <w:tblPr>
        <w:tblStyle w:val="TableGrid"/>
        <w:tblW w:w="0" w:type="auto"/>
        <w:tblLook w:val="04A0" w:firstRow="1" w:lastRow="0" w:firstColumn="1" w:lastColumn="0" w:noHBand="0" w:noVBand="1"/>
      </w:tblPr>
      <w:tblGrid>
        <w:gridCol w:w="1413"/>
        <w:gridCol w:w="7603"/>
      </w:tblGrid>
      <w:tr w:rsidR="00854463" w14:paraId="67B843B9" w14:textId="77777777" w:rsidTr="00BD1EEB">
        <w:tc>
          <w:tcPr>
            <w:tcW w:w="1413" w:type="dxa"/>
          </w:tcPr>
          <w:p w14:paraId="749F193D" w14:textId="38EA5390" w:rsidR="00854463" w:rsidRDefault="00854463" w:rsidP="00BD1EEB">
            <w:pPr>
              <w:spacing w:line="240" w:lineRule="auto"/>
            </w:pPr>
            <w:r w:rsidRPr="00C20A58">
              <w:rPr>
                <w:rFonts w:cs="Arial"/>
                <w:noProof/>
                <w:szCs w:val="24"/>
              </w:rPr>
              <w:t>IG(i)</w:t>
            </w:r>
          </w:p>
        </w:tc>
        <w:tc>
          <w:tcPr>
            <w:tcW w:w="7603" w:type="dxa"/>
          </w:tcPr>
          <w:p w14:paraId="169831B9" w14:textId="7DE9D8BA" w:rsidR="00854463" w:rsidRDefault="00854463" w:rsidP="00BD1EEB">
            <w:pPr>
              <w:spacing w:line="240" w:lineRule="auto"/>
            </w:pPr>
            <w:r w:rsidRPr="00AD2E4C">
              <w:rPr>
                <w:rFonts w:cs="Arial"/>
                <w:noProof/>
                <w:szCs w:val="24"/>
              </w:rPr>
              <w:t>Responsibilities of Faculties and Central University Departments in the External Examining Process</w:t>
            </w:r>
          </w:p>
        </w:tc>
      </w:tr>
      <w:tr w:rsidR="00854463" w14:paraId="43060F30" w14:textId="77777777" w:rsidTr="00BD1EEB">
        <w:tc>
          <w:tcPr>
            <w:tcW w:w="1413" w:type="dxa"/>
          </w:tcPr>
          <w:p w14:paraId="230AEEEB" w14:textId="3C44701C" w:rsidR="00854463" w:rsidRDefault="00E20B40" w:rsidP="00BD1EEB">
            <w:pPr>
              <w:spacing w:line="240" w:lineRule="auto"/>
            </w:pPr>
            <w:r w:rsidRPr="00AD2E4C">
              <w:rPr>
                <w:rFonts w:cs="Arial"/>
                <w:noProof/>
                <w:szCs w:val="24"/>
              </w:rPr>
              <w:t>IG(ii)</w:t>
            </w:r>
          </w:p>
        </w:tc>
        <w:tc>
          <w:tcPr>
            <w:tcW w:w="7603" w:type="dxa"/>
          </w:tcPr>
          <w:p w14:paraId="757C779F" w14:textId="3F6F101C" w:rsidR="00854463" w:rsidRDefault="402F3BD9" w:rsidP="00BD1EEB">
            <w:pPr>
              <w:spacing w:line="240" w:lineRule="auto"/>
            </w:pPr>
            <w:r w:rsidRPr="5FAEE69A">
              <w:rPr>
                <w:rFonts w:cs="Arial"/>
                <w:noProof/>
              </w:rPr>
              <w:t>Checklist of documentation for new External Examiners</w:t>
            </w:r>
          </w:p>
        </w:tc>
      </w:tr>
      <w:tr w:rsidR="00854463" w14:paraId="310342D1" w14:textId="77777777" w:rsidTr="00BD1EEB">
        <w:tc>
          <w:tcPr>
            <w:tcW w:w="1413" w:type="dxa"/>
          </w:tcPr>
          <w:p w14:paraId="5A818B2A" w14:textId="29BAABAB" w:rsidR="00854463" w:rsidRDefault="00E20B40" w:rsidP="00BD1EEB">
            <w:pPr>
              <w:spacing w:line="240" w:lineRule="auto"/>
            </w:pPr>
            <w:r w:rsidRPr="00AD2E4C">
              <w:rPr>
                <w:rFonts w:cs="Arial"/>
                <w:noProof/>
                <w:szCs w:val="24"/>
              </w:rPr>
              <w:t>IG(iii)</w:t>
            </w:r>
          </w:p>
        </w:tc>
        <w:tc>
          <w:tcPr>
            <w:tcW w:w="7603" w:type="dxa"/>
          </w:tcPr>
          <w:p w14:paraId="36C4A539" w14:textId="7DD4267F" w:rsidR="00854463" w:rsidRDefault="402F3BD9" w:rsidP="00BD1EEB">
            <w:pPr>
              <w:spacing w:line="240" w:lineRule="auto"/>
            </w:pPr>
            <w:r w:rsidRPr="5FAEE69A">
              <w:rPr>
                <w:rFonts w:cs="Arial"/>
                <w:noProof/>
              </w:rPr>
              <w:t>Induction of new External Examiners and planning of audit of assessment</w:t>
            </w:r>
          </w:p>
        </w:tc>
      </w:tr>
      <w:tr w:rsidR="00854463" w14:paraId="3FF0F4A5" w14:textId="77777777" w:rsidTr="00BD1EEB">
        <w:tc>
          <w:tcPr>
            <w:tcW w:w="1413" w:type="dxa"/>
          </w:tcPr>
          <w:p w14:paraId="65270DDC" w14:textId="3583064A" w:rsidR="00854463" w:rsidRDefault="00E20B40" w:rsidP="00BD1EEB">
            <w:pPr>
              <w:spacing w:line="240" w:lineRule="auto"/>
            </w:pPr>
            <w:r w:rsidRPr="00C20A58">
              <w:rPr>
                <w:rFonts w:cs="Arial"/>
                <w:noProof/>
                <w:szCs w:val="24"/>
              </w:rPr>
              <w:t>IG(</w:t>
            </w:r>
            <w:r>
              <w:rPr>
                <w:rFonts w:cs="Arial"/>
                <w:noProof/>
                <w:szCs w:val="24"/>
              </w:rPr>
              <w:t>iv</w:t>
            </w:r>
            <w:r w:rsidRPr="00C20A58">
              <w:rPr>
                <w:rFonts w:cs="Arial"/>
                <w:noProof/>
                <w:szCs w:val="24"/>
              </w:rPr>
              <w:t>)</w:t>
            </w:r>
          </w:p>
        </w:tc>
        <w:tc>
          <w:tcPr>
            <w:tcW w:w="7603" w:type="dxa"/>
          </w:tcPr>
          <w:p w14:paraId="264BAB22" w14:textId="42E786AB" w:rsidR="00854463" w:rsidRDefault="402F3BD9" w:rsidP="00BD1EEB">
            <w:pPr>
              <w:spacing w:line="240" w:lineRule="auto"/>
            </w:pPr>
            <w:r w:rsidRPr="5FAEE69A">
              <w:rPr>
                <w:rFonts w:cs="Arial"/>
                <w:noProof/>
              </w:rPr>
              <w:t>Rights and responsibilities of Subject External Examiners</w:t>
            </w:r>
          </w:p>
        </w:tc>
      </w:tr>
      <w:tr w:rsidR="00854463" w14:paraId="7A207C4D" w14:textId="77777777" w:rsidTr="00BD1EEB">
        <w:tc>
          <w:tcPr>
            <w:tcW w:w="1413" w:type="dxa"/>
          </w:tcPr>
          <w:p w14:paraId="19E627C0" w14:textId="72684843" w:rsidR="00854463" w:rsidRDefault="00E20B40" w:rsidP="00BD1EEB">
            <w:pPr>
              <w:spacing w:line="240" w:lineRule="auto"/>
            </w:pPr>
            <w:r>
              <w:rPr>
                <w:rFonts w:cs="Arial"/>
                <w:noProof/>
                <w:szCs w:val="24"/>
              </w:rPr>
              <w:t>IG(v)</w:t>
            </w:r>
          </w:p>
        </w:tc>
        <w:tc>
          <w:tcPr>
            <w:tcW w:w="7603" w:type="dxa"/>
          </w:tcPr>
          <w:p w14:paraId="2D8FA101" w14:textId="231459AF" w:rsidR="00854463" w:rsidRDefault="402F3BD9" w:rsidP="00BD1EEB">
            <w:pPr>
              <w:spacing w:line="240" w:lineRule="auto"/>
            </w:pPr>
            <w:r w:rsidRPr="5FAEE69A">
              <w:rPr>
                <w:rFonts w:cs="Arial"/>
                <w:noProof/>
              </w:rPr>
              <w:t>Rights and responsibilities of PAB External Examiners</w:t>
            </w:r>
          </w:p>
        </w:tc>
      </w:tr>
      <w:tr w:rsidR="00073ACC" w14:paraId="7F042ADD" w14:textId="77777777" w:rsidTr="00BD1EEB">
        <w:tc>
          <w:tcPr>
            <w:tcW w:w="1413" w:type="dxa"/>
          </w:tcPr>
          <w:p w14:paraId="7A911A6A" w14:textId="31CEA054" w:rsidR="00073ACC" w:rsidRDefault="001E5B1F" w:rsidP="00BD1EEB">
            <w:pPr>
              <w:spacing w:line="240" w:lineRule="auto"/>
              <w:rPr>
                <w:rFonts w:cs="Arial"/>
                <w:noProof/>
                <w:szCs w:val="24"/>
              </w:rPr>
            </w:pPr>
            <w:r w:rsidRPr="00C20A58">
              <w:rPr>
                <w:rFonts w:cs="Arial"/>
                <w:noProof/>
                <w:szCs w:val="24"/>
              </w:rPr>
              <w:t>IG(vi)</w:t>
            </w:r>
          </w:p>
        </w:tc>
        <w:tc>
          <w:tcPr>
            <w:tcW w:w="7603" w:type="dxa"/>
          </w:tcPr>
          <w:p w14:paraId="2BAF4C05" w14:textId="5C7B7795" w:rsidR="00073ACC" w:rsidRPr="00C20A58" w:rsidRDefault="3813A3BE" w:rsidP="00BD1EEB">
            <w:pPr>
              <w:spacing w:line="240" w:lineRule="auto"/>
              <w:rPr>
                <w:rFonts w:cs="Arial"/>
                <w:noProof/>
              </w:rPr>
            </w:pPr>
            <w:r w:rsidRPr="5FAEE69A">
              <w:rPr>
                <w:rFonts w:cs="Arial"/>
                <w:noProof/>
              </w:rPr>
              <w:t>Rights and responsibilities of</w:t>
            </w:r>
            <w:r w:rsidR="3238CF29" w:rsidRPr="5FAEE69A">
              <w:rPr>
                <w:rFonts w:cs="Arial"/>
                <w:noProof/>
              </w:rPr>
              <w:t xml:space="preserve"> Higher and Degree Apprenticeship External Examiners</w:t>
            </w:r>
          </w:p>
        </w:tc>
      </w:tr>
      <w:tr w:rsidR="00854463" w14:paraId="14EE4AED" w14:textId="77777777" w:rsidTr="00BD1EEB">
        <w:tc>
          <w:tcPr>
            <w:tcW w:w="1413" w:type="dxa"/>
          </w:tcPr>
          <w:p w14:paraId="4B4D871D" w14:textId="4BDD931B" w:rsidR="00854463" w:rsidRDefault="001E5B1F" w:rsidP="00BD1EEB">
            <w:pPr>
              <w:spacing w:line="240" w:lineRule="auto"/>
            </w:pPr>
            <w:r w:rsidRPr="00C20A58">
              <w:rPr>
                <w:rFonts w:cs="Arial"/>
                <w:noProof/>
                <w:szCs w:val="24"/>
              </w:rPr>
              <w:t>IG(</w:t>
            </w:r>
            <w:r>
              <w:rPr>
                <w:rFonts w:cs="Arial"/>
                <w:noProof/>
                <w:szCs w:val="24"/>
              </w:rPr>
              <w:t>vii</w:t>
            </w:r>
            <w:r w:rsidRPr="00C20A58">
              <w:rPr>
                <w:rFonts w:cs="Arial"/>
                <w:noProof/>
                <w:szCs w:val="24"/>
              </w:rPr>
              <w:t>)</w:t>
            </w:r>
          </w:p>
        </w:tc>
        <w:tc>
          <w:tcPr>
            <w:tcW w:w="7603" w:type="dxa"/>
          </w:tcPr>
          <w:p w14:paraId="78454829" w14:textId="6570E121" w:rsidR="00854463" w:rsidRDefault="00E20B40" w:rsidP="00BD1EEB">
            <w:pPr>
              <w:spacing w:line="240" w:lineRule="auto"/>
            </w:pPr>
            <w:r w:rsidRPr="00C20A58">
              <w:rPr>
                <w:rFonts w:cs="Arial"/>
                <w:noProof/>
                <w:szCs w:val="24"/>
              </w:rPr>
              <w:t>Extern</w:t>
            </w:r>
            <w:r>
              <w:rPr>
                <w:rFonts w:cs="Arial"/>
                <w:noProof/>
                <w:szCs w:val="24"/>
              </w:rPr>
              <w:t xml:space="preserve">al Examiner guide to accessing </w:t>
            </w:r>
            <w:r w:rsidR="00CF7E97">
              <w:rPr>
                <w:rFonts w:cs="Arial"/>
                <w:noProof/>
                <w:szCs w:val="24"/>
              </w:rPr>
              <w:t>Kingston University systems</w:t>
            </w:r>
          </w:p>
        </w:tc>
      </w:tr>
      <w:tr w:rsidR="00854463" w14:paraId="6F2CA105" w14:textId="77777777" w:rsidTr="00BD1EEB">
        <w:tc>
          <w:tcPr>
            <w:tcW w:w="1413" w:type="dxa"/>
          </w:tcPr>
          <w:p w14:paraId="65E689D0" w14:textId="13A7F382" w:rsidR="00854463" w:rsidRDefault="00E20B40" w:rsidP="00BD1EEB">
            <w:pPr>
              <w:spacing w:line="240" w:lineRule="auto"/>
            </w:pPr>
            <w:r>
              <w:rPr>
                <w:rFonts w:cs="Arial"/>
                <w:noProof/>
                <w:szCs w:val="24"/>
              </w:rPr>
              <w:t>IG</w:t>
            </w:r>
            <w:r w:rsidR="0071201B">
              <w:rPr>
                <w:rFonts w:cs="Arial"/>
                <w:noProof/>
                <w:szCs w:val="24"/>
              </w:rPr>
              <w:t>(</w:t>
            </w:r>
            <w:r w:rsidR="00015B3A">
              <w:rPr>
                <w:rFonts w:cs="Arial"/>
                <w:noProof/>
                <w:szCs w:val="24"/>
              </w:rPr>
              <w:t>viii)</w:t>
            </w:r>
          </w:p>
        </w:tc>
        <w:tc>
          <w:tcPr>
            <w:tcW w:w="7603" w:type="dxa"/>
          </w:tcPr>
          <w:p w14:paraId="5841CB99" w14:textId="02BE4A63" w:rsidR="00854463" w:rsidRDefault="402F3BD9" w:rsidP="00BD1EEB">
            <w:pPr>
              <w:spacing w:line="240" w:lineRule="auto"/>
            </w:pPr>
            <w:r w:rsidRPr="5FAEE69A">
              <w:rPr>
                <w:rFonts w:cs="Arial"/>
                <w:noProof/>
              </w:rPr>
              <w:t>Student guide to the role of the External Examiner</w:t>
            </w:r>
          </w:p>
        </w:tc>
      </w:tr>
      <w:tr w:rsidR="00C63F4F" w14:paraId="6B494289" w14:textId="77777777" w:rsidTr="00BD1EEB">
        <w:tc>
          <w:tcPr>
            <w:tcW w:w="1413" w:type="dxa"/>
          </w:tcPr>
          <w:p w14:paraId="65E71087" w14:textId="47562DF8" w:rsidR="00C63F4F" w:rsidRDefault="00972171" w:rsidP="00BD1EEB">
            <w:pPr>
              <w:spacing w:line="240" w:lineRule="auto"/>
              <w:rPr>
                <w:rFonts w:cs="Arial"/>
                <w:noProof/>
                <w:szCs w:val="24"/>
              </w:rPr>
            </w:pPr>
            <w:r>
              <w:rPr>
                <w:rFonts w:cs="Arial"/>
                <w:noProof/>
                <w:szCs w:val="24"/>
              </w:rPr>
              <w:t>IG(</w:t>
            </w:r>
            <w:r w:rsidR="00015B3A">
              <w:rPr>
                <w:rFonts w:cs="Arial"/>
                <w:noProof/>
                <w:szCs w:val="24"/>
              </w:rPr>
              <w:t>i</w:t>
            </w:r>
            <w:r>
              <w:rPr>
                <w:rFonts w:cs="Arial"/>
                <w:noProof/>
                <w:szCs w:val="24"/>
              </w:rPr>
              <w:t>x)</w:t>
            </w:r>
          </w:p>
        </w:tc>
        <w:tc>
          <w:tcPr>
            <w:tcW w:w="7603" w:type="dxa"/>
          </w:tcPr>
          <w:p w14:paraId="6C71F823" w14:textId="63E96358" w:rsidR="00C63F4F" w:rsidRPr="5FAEE69A" w:rsidRDefault="00E97654" w:rsidP="00BD1EEB">
            <w:pPr>
              <w:spacing w:line="240" w:lineRule="auto"/>
              <w:rPr>
                <w:rFonts w:cs="Arial"/>
                <w:noProof/>
              </w:rPr>
            </w:pPr>
            <w:r w:rsidRPr="00E97654">
              <w:rPr>
                <w:rFonts w:cs="Arial"/>
                <w:noProof/>
              </w:rPr>
              <w:t>External Examiner Module Materials – Guide for Kingston University Academic Staff</w:t>
            </w:r>
          </w:p>
        </w:tc>
      </w:tr>
    </w:tbl>
    <w:p w14:paraId="7BBDBD88" w14:textId="77777777" w:rsidR="00BD1EEB" w:rsidRDefault="00BD1EEB" w:rsidP="00BD1EEB">
      <w:pPr>
        <w:pStyle w:val="Heading2"/>
      </w:pPr>
      <w:bookmarkStart w:id="8" w:name="_Toc97630754"/>
    </w:p>
    <w:p w14:paraId="25F9F801" w14:textId="5AE419C7" w:rsidR="00854463" w:rsidRPr="00E20B40" w:rsidRDefault="00E35D3B" w:rsidP="00BD1EEB">
      <w:pPr>
        <w:pStyle w:val="Heading2"/>
      </w:pPr>
      <w:bookmarkStart w:id="9" w:name="_Toc203731642"/>
      <w:r>
        <w:t>Abbreviations in this sectio</w:t>
      </w:r>
      <w:r w:rsidR="00854463">
        <w:t>n</w:t>
      </w:r>
      <w:bookmarkEnd w:id="8"/>
      <w:bookmarkEnd w:id="9"/>
    </w:p>
    <w:tbl>
      <w:tblPr>
        <w:tblStyle w:val="TableGrid"/>
        <w:tblW w:w="0" w:type="auto"/>
        <w:tblLook w:val="04A0" w:firstRow="1" w:lastRow="0" w:firstColumn="1" w:lastColumn="0" w:noHBand="0" w:noVBand="1"/>
      </w:tblPr>
      <w:tblGrid>
        <w:gridCol w:w="1413"/>
        <w:gridCol w:w="7603"/>
      </w:tblGrid>
      <w:tr w:rsidR="000C45C4" w:rsidRPr="00E35D3B" w14:paraId="7898097B" w14:textId="77777777" w:rsidTr="00BD1EEB">
        <w:tc>
          <w:tcPr>
            <w:tcW w:w="1413" w:type="dxa"/>
          </w:tcPr>
          <w:p w14:paraId="1F396F82" w14:textId="22F076E3" w:rsidR="000C45C4" w:rsidRPr="00DF6532" w:rsidRDefault="000C45C4" w:rsidP="000C45C4">
            <w:pPr>
              <w:spacing w:line="240" w:lineRule="auto"/>
              <w:rPr>
                <w:snapToGrid w:val="0"/>
              </w:rPr>
            </w:pPr>
            <w:r w:rsidRPr="00DF6532">
              <w:rPr>
                <w:snapToGrid w:val="0"/>
              </w:rPr>
              <w:t>EC</w:t>
            </w:r>
          </w:p>
        </w:tc>
        <w:tc>
          <w:tcPr>
            <w:tcW w:w="7603" w:type="dxa"/>
          </w:tcPr>
          <w:p w14:paraId="797780E0" w14:textId="7E0D975C" w:rsidR="000C45C4" w:rsidRPr="00DF6532" w:rsidRDefault="000C45C4" w:rsidP="000C45C4">
            <w:pPr>
              <w:spacing w:line="240" w:lineRule="auto"/>
              <w:rPr>
                <w:snapToGrid w:val="0"/>
              </w:rPr>
            </w:pPr>
            <w:r w:rsidRPr="00DF6532">
              <w:rPr>
                <w:snapToGrid w:val="0"/>
              </w:rPr>
              <w:t>Education Committee</w:t>
            </w:r>
          </w:p>
        </w:tc>
      </w:tr>
      <w:tr w:rsidR="000C45C4" w:rsidRPr="00E35D3B" w14:paraId="27955665" w14:textId="77777777" w:rsidTr="00BD1EEB">
        <w:tc>
          <w:tcPr>
            <w:tcW w:w="1413" w:type="dxa"/>
          </w:tcPr>
          <w:p w14:paraId="2979DB2E" w14:textId="6A74ADC3" w:rsidR="000C45C4" w:rsidRPr="00DF6532" w:rsidRDefault="000C45C4" w:rsidP="000C45C4">
            <w:pPr>
              <w:spacing w:line="240" w:lineRule="auto"/>
              <w:rPr>
                <w:snapToGrid w:val="0"/>
              </w:rPr>
            </w:pPr>
            <w:r w:rsidRPr="00DF6532">
              <w:rPr>
                <w:snapToGrid w:val="0"/>
              </w:rPr>
              <w:t>EE</w:t>
            </w:r>
          </w:p>
        </w:tc>
        <w:tc>
          <w:tcPr>
            <w:tcW w:w="7603" w:type="dxa"/>
          </w:tcPr>
          <w:p w14:paraId="4B5F7196" w14:textId="193B1019" w:rsidR="000C45C4" w:rsidRPr="00DF6532" w:rsidRDefault="000C45C4" w:rsidP="000C45C4">
            <w:pPr>
              <w:spacing w:line="240" w:lineRule="auto"/>
              <w:rPr>
                <w:snapToGrid w:val="0"/>
              </w:rPr>
            </w:pPr>
            <w:r w:rsidRPr="00DF6532">
              <w:rPr>
                <w:snapToGrid w:val="0"/>
              </w:rPr>
              <w:t>External Examiner</w:t>
            </w:r>
            <w:r w:rsidRPr="00DF6532">
              <w:rPr>
                <w:snapToGrid w:val="0"/>
              </w:rPr>
              <w:fldChar w:fldCharType="begin"/>
            </w:r>
            <w:r w:rsidRPr="00DF6532">
              <w:rPr>
                <w:snapToGrid w:val="0"/>
              </w:rPr>
              <w:instrText xml:space="preserve"> XE "External Examiners:EE" </w:instrText>
            </w:r>
            <w:r w:rsidRPr="00DF6532">
              <w:rPr>
                <w:snapToGrid w:val="0"/>
              </w:rPr>
              <w:fldChar w:fldCharType="end"/>
            </w:r>
          </w:p>
        </w:tc>
      </w:tr>
      <w:tr w:rsidR="000C45C4" w:rsidRPr="00E35D3B" w14:paraId="10D72439" w14:textId="77777777" w:rsidTr="00BD1EEB">
        <w:tc>
          <w:tcPr>
            <w:tcW w:w="1413" w:type="dxa"/>
          </w:tcPr>
          <w:p w14:paraId="27201E6F" w14:textId="09E54509" w:rsidR="000C45C4" w:rsidRPr="00DF6532" w:rsidRDefault="000C45C4" w:rsidP="000C45C4">
            <w:pPr>
              <w:spacing w:line="240" w:lineRule="auto"/>
              <w:rPr>
                <w:snapToGrid w:val="0"/>
              </w:rPr>
            </w:pPr>
            <w:r w:rsidRPr="00DF6532">
              <w:rPr>
                <w:snapToGrid w:val="0"/>
              </w:rPr>
              <w:t>EERS</w:t>
            </w:r>
          </w:p>
        </w:tc>
        <w:tc>
          <w:tcPr>
            <w:tcW w:w="7603" w:type="dxa"/>
          </w:tcPr>
          <w:p w14:paraId="23ABCCA9" w14:textId="3B96155B" w:rsidR="000C45C4" w:rsidRPr="00DF6532" w:rsidRDefault="000C45C4" w:rsidP="000C45C4">
            <w:pPr>
              <w:spacing w:line="240" w:lineRule="auto"/>
            </w:pPr>
            <w:r w:rsidRPr="00DF6532">
              <w:rPr>
                <w:snapToGrid w:val="0"/>
              </w:rPr>
              <w:t>External Examiners</w:t>
            </w:r>
            <w:r w:rsidRPr="00DF6532">
              <w:rPr>
                <w:snapToGrid w:val="0"/>
              </w:rPr>
              <w:fldChar w:fldCharType="begin"/>
            </w:r>
            <w:r w:rsidRPr="00DF6532">
              <w:rPr>
                <w:snapToGrid w:val="0"/>
              </w:rPr>
              <w:instrText xml:space="preserve"> XE "External Examiners:EE" </w:instrText>
            </w:r>
            <w:r w:rsidRPr="00DF6532">
              <w:rPr>
                <w:snapToGrid w:val="0"/>
              </w:rPr>
              <w:fldChar w:fldCharType="end"/>
            </w:r>
            <w:r w:rsidRPr="00DF6532">
              <w:rPr>
                <w:snapToGrid w:val="0"/>
              </w:rPr>
              <w:t>’ Reporting System</w:t>
            </w:r>
          </w:p>
        </w:tc>
      </w:tr>
      <w:tr w:rsidR="000C45C4" w:rsidRPr="00E35D3B" w14:paraId="19AEA467" w14:textId="77777777" w:rsidTr="00BD1EEB">
        <w:tc>
          <w:tcPr>
            <w:tcW w:w="1413" w:type="dxa"/>
          </w:tcPr>
          <w:p w14:paraId="2895545C" w14:textId="07BE088C" w:rsidR="000C45C4" w:rsidRPr="00DF6532" w:rsidRDefault="000C45C4" w:rsidP="000C45C4">
            <w:pPr>
              <w:spacing w:line="240" w:lineRule="auto"/>
              <w:rPr>
                <w:snapToGrid w:val="0"/>
              </w:rPr>
            </w:pPr>
            <w:r w:rsidRPr="00DF6532">
              <w:rPr>
                <w:snapToGrid w:val="0"/>
              </w:rPr>
              <w:t>FHEQ</w:t>
            </w:r>
          </w:p>
        </w:tc>
        <w:tc>
          <w:tcPr>
            <w:tcW w:w="7603" w:type="dxa"/>
          </w:tcPr>
          <w:p w14:paraId="2AC9C59B" w14:textId="205A9716" w:rsidR="000C45C4" w:rsidRPr="00DF6532" w:rsidRDefault="000C45C4" w:rsidP="000C45C4">
            <w:pPr>
              <w:spacing w:line="240" w:lineRule="auto"/>
              <w:rPr>
                <w:snapToGrid w:val="0"/>
              </w:rPr>
            </w:pPr>
            <w:r w:rsidRPr="00DF6532">
              <w:rPr>
                <w:snapToGrid w:val="0"/>
              </w:rPr>
              <w:t>Framework for Higher Education Qualifications</w:t>
            </w:r>
          </w:p>
        </w:tc>
      </w:tr>
      <w:tr w:rsidR="002E3234" w:rsidRPr="00E35D3B" w14:paraId="01208DE4" w14:textId="77777777" w:rsidTr="00BD1EEB">
        <w:tc>
          <w:tcPr>
            <w:tcW w:w="1413" w:type="dxa"/>
          </w:tcPr>
          <w:p w14:paraId="7EE2C66A" w14:textId="2819A104" w:rsidR="002E3234" w:rsidRPr="00DF6532" w:rsidRDefault="002E3234" w:rsidP="002E3234">
            <w:pPr>
              <w:spacing w:line="240" w:lineRule="auto"/>
              <w:rPr>
                <w:snapToGrid w:val="0"/>
              </w:rPr>
            </w:pPr>
            <w:r>
              <w:rPr>
                <w:snapToGrid w:val="0"/>
              </w:rPr>
              <w:t>HDA</w:t>
            </w:r>
          </w:p>
        </w:tc>
        <w:tc>
          <w:tcPr>
            <w:tcW w:w="7603" w:type="dxa"/>
          </w:tcPr>
          <w:p w14:paraId="5CE2BAAE" w14:textId="7A42DA2F" w:rsidR="002E3234" w:rsidRPr="00DF6532" w:rsidRDefault="002E3234" w:rsidP="002E3234">
            <w:pPr>
              <w:spacing w:line="240" w:lineRule="auto"/>
              <w:rPr>
                <w:snapToGrid w:val="0"/>
              </w:rPr>
            </w:pPr>
            <w:r>
              <w:rPr>
                <w:rFonts w:cs="Arial"/>
                <w:szCs w:val="24"/>
              </w:rPr>
              <w:t>Higher &amp; Degree Apprenticeship</w:t>
            </w:r>
          </w:p>
        </w:tc>
      </w:tr>
      <w:tr w:rsidR="002E3234" w:rsidRPr="00E35D3B" w14:paraId="61D30308" w14:textId="77777777" w:rsidTr="00BD1EEB">
        <w:tc>
          <w:tcPr>
            <w:tcW w:w="1413" w:type="dxa"/>
          </w:tcPr>
          <w:p w14:paraId="5BE5B5C5" w14:textId="42861AD1" w:rsidR="002E3234" w:rsidRPr="00DF6532" w:rsidRDefault="002E3234" w:rsidP="002E3234">
            <w:pPr>
              <w:spacing w:line="240" w:lineRule="auto"/>
              <w:rPr>
                <w:snapToGrid w:val="0"/>
              </w:rPr>
            </w:pPr>
            <w:r w:rsidRPr="00DF6532">
              <w:rPr>
                <w:snapToGrid w:val="0"/>
              </w:rPr>
              <w:t>HEI</w:t>
            </w:r>
          </w:p>
        </w:tc>
        <w:tc>
          <w:tcPr>
            <w:tcW w:w="7603" w:type="dxa"/>
          </w:tcPr>
          <w:p w14:paraId="0CF30351" w14:textId="2DBFAEC6" w:rsidR="002E3234" w:rsidRPr="00DF6532" w:rsidRDefault="002E3234" w:rsidP="002E3234">
            <w:pPr>
              <w:spacing w:line="240" w:lineRule="auto"/>
              <w:rPr>
                <w:snapToGrid w:val="0"/>
              </w:rPr>
            </w:pPr>
            <w:r w:rsidRPr="00DF6532">
              <w:rPr>
                <w:snapToGrid w:val="0"/>
              </w:rPr>
              <w:t>Higher Education Institution</w:t>
            </w:r>
          </w:p>
        </w:tc>
      </w:tr>
      <w:tr w:rsidR="002E3234" w:rsidRPr="00E35D3B" w14:paraId="00D09738" w14:textId="77777777" w:rsidTr="00BD1EEB">
        <w:tc>
          <w:tcPr>
            <w:tcW w:w="1413" w:type="dxa"/>
          </w:tcPr>
          <w:p w14:paraId="7728241E" w14:textId="0DA8E88F" w:rsidR="002E3234" w:rsidRPr="00DF6532" w:rsidRDefault="002E3234" w:rsidP="002E3234">
            <w:pPr>
              <w:spacing w:line="240" w:lineRule="auto"/>
              <w:rPr>
                <w:snapToGrid w:val="0"/>
              </w:rPr>
            </w:pPr>
            <w:r w:rsidRPr="00DF6532">
              <w:rPr>
                <w:snapToGrid w:val="0"/>
              </w:rPr>
              <w:t>IQA</w:t>
            </w:r>
          </w:p>
        </w:tc>
        <w:tc>
          <w:tcPr>
            <w:tcW w:w="7603" w:type="dxa"/>
          </w:tcPr>
          <w:p w14:paraId="149DB25F" w14:textId="23EE6AC7" w:rsidR="002E3234" w:rsidRPr="00DF6532" w:rsidRDefault="002E3234" w:rsidP="002E3234">
            <w:pPr>
              <w:spacing w:line="240" w:lineRule="auto"/>
              <w:rPr>
                <w:snapToGrid w:val="0"/>
              </w:rPr>
            </w:pPr>
            <w:r w:rsidRPr="00DF6532">
              <w:rPr>
                <w:snapToGrid w:val="0"/>
              </w:rPr>
              <w:t>Internal Quality Audit</w:t>
            </w:r>
            <w:r w:rsidRPr="00DF6532">
              <w:rPr>
                <w:snapToGrid w:val="0"/>
              </w:rPr>
              <w:fldChar w:fldCharType="begin"/>
            </w:r>
            <w:r w:rsidRPr="00DF6532">
              <w:rPr>
                <w:snapToGrid w:val="0"/>
              </w:rPr>
              <w:instrText xml:space="preserve"> XE "Internal Quality Audit:IQA" </w:instrText>
            </w:r>
            <w:r w:rsidRPr="00DF6532">
              <w:rPr>
                <w:snapToGrid w:val="0"/>
              </w:rPr>
              <w:fldChar w:fldCharType="end"/>
            </w:r>
          </w:p>
        </w:tc>
      </w:tr>
      <w:tr w:rsidR="002E3234" w:rsidRPr="00E35D3B" w14:paraId="2F4DB5EF" w14:textId="77777777" w:rsidTr="00BD1EEB">
        <w:tc>
          <w:tcPr>
            <w:tcW w:w="1413" w:type="dxa"/>
          </w:tcPr>
          <w:p w14:paraId="6A0769BE" w14:textId="2D356F43" w:rsidR="002E3234" w:rsidRPr="00DF6532" w:rsidRDefault="002E3234" w:rsidP="002E3234">
            <w:pPr>
              <w:spacing w:line="240" w:lineRule="auto"/>
              <w:rPr>
                <w:snapToGrid w:val="0"/>
              </w:rPr>
            </w:pPr>
            <w:r w:rsidRPr="00DF6532">
              <w:rPr>
                <w:snapToGrid w:val="0"/>
              </w:rPr>
              <w:t>KCEP</w:t>
            </w:r>
          </w:p>
        </w:tc>
        <w:tc>
          <w:tcPr>
            <w:tcW w:w="7603" w:type="dxa"/>
          </w:tcPr>
          <w:p w14:paraId="39709695" w14:textId="12352D4B" w:rsidR="002E3234" w:rsidRPr="00DF6532" w:rsidRDefault="002E3234" w:rsidP="002E3234">
            <w:pPr>
              <w:spacing w:line="240" w:lineRule="auto"/>
              <w:rPr>
                <w:snapToGrid w:val="0"/>
              </w:rPr>
            </w:pPr>
            <w:r w:rsidRPr="00DF6532">
              <w:rPr>
                <w:snapToGrid w:val="0"/>
              </w:rPr>
              <w:t>Kingston Continuous Enhancement Process (Substantive Review)</w:t>
            </w:r>
          </w:p>
        </w:tc>
      </w:tr>
      <w:tr w:rsidR="002E3234" w:rsidRPr="00E35D3B" w14:paraId="3B2F7CCF" w14:textId="77777777" w:rsidTr="00BD1EEB">
        <w:tc>
          <w:tcPr>
            <w:tcW w:w="1413" w:type="dxa"/>
          </w:tcPr>
          <w:p w14:paraId="5D45F55E" w14:textId="5B24CF08" w:rsidR="002E3234" w:rsidRPr="00DF6532" w:rsidRDefault="002E3234" w:rsidP="002E3234">
            <w:pPr>
              <w:spacing w:line="240" w:lineRule="auto"/>
              <w:rPr>
                <w:snapToGrid w:val="0"/>
              </w:rPr>
            </w:pPr>
            <w:proofErr w:type="spellStart"/>
            <w:r w:rsidRPr="00DF6532">
              <w:rPr>
                <w:snapToGrid w:val="0"/>
              </w:rPr>
              <w:t>OfS</w:t>
            </w:r>
            <w:proofErr w:type="spellEnd"/>
          </w:p>
        </w:tc>
        <w:tc>
          <w:tcPr>
            <w:tcW w:w="7603" w:type="dxa"/>
          </w:tcPr>
          <w:p w14:paraId="200D5981" w14:textId="2E275C85" w:rsidR="002E3234" w:rsidRPr="00DF6532" w:rsidRDefault="002E3234" w:rsidP="002E3234">
            <w:pPr>
              <w:spacing w:line="240" w:lineRule="auto"/>
              <w:rPr>
                <w:snapToGrid w:val="0"/>
              </w:rPr>
            </w:pPr>
            <w:r w:rsidRPr="00DF6532">
              <w:rPr>
                <w:snapToGrid w:val="0"/>
              </w:rPr>
              <w:t>Office for Students</w:t>
            </w:r>
          </w:p>
        </w:tc>
      </w:tr>
      <w:tr w:rsidR="002E3234" w:rsidRPr="00E35D3B" w14:paraId="35DBA83F" w14:textId="77777777" w:rsidTr="00BD1EEB">
        <w:tc>
          <w:tcPr>
            <w:tcW w:w="1413" w:type="dxa"/>
          </w:tcPr>
          <w:p w14:paraId="71E3DF32" w14:textId="77777777" w:rsidR="002E3234" w:rsidRPr="00DF6532" w:rsidRDefault="002E3234" w:rsidP="002E3234">
            <w:pPr>
              <w:spacing w:line="240" w:lineRule="auto"/>
              <w:rPr>
                <w:snapToGrid w:val="0"/>
              </w:rPr>
            </w:pPr>
            <w:r w:rsidRPr="00DF6532">
              <w:rPr>
                <w:snapToGrid w:val="0"/>
              </w:rPr>
              <w:t>PAB</w:t>
            </w:r>
          </w:p>
        </w:tc>
        <w:tc>
          <w:tcPr>
            <w:tcW w:w="7603" w:type="dxa"/>
          </w:tcPr>
          <w:p w14:paraId="0439BB86" w14:textId="24486F4A" w:rsidR="002E3234" w:rsidRPr="00DF6532" w:rsidRDefault="002E3234" w:rsidP="002E3234">
            <w:pPr>
              <w:spacing w:line="240" w:lineRule="auto"/>
              <w:rPr>
                <w:snapToGrid w:val="0"/>
              </w:rPr>
            </w:pPr>
            <w:r w:rsidRPr="00DF6532">
              <w:rPr>
                <w:snapToGrid w:val="0"/>
              </w:rPr>
              <w:t>Programme Assessment Board</w:t>
            </w:r>
            <w:r w:rsidRPr="00DF6532">
              <w:rPr>
                <w:snapToGrid w:val="0"/>
              </w:rPr>
              <w:fldChar w:fldCharType="begin"/>
            </w:r>
            <w:r w:rsidRPr="00DF6532">
              <w:rPr>
                <w:snapToGrid w:val="0"/>
              </w:rPr>
              <w:instrText xml:space="preserve"> XE "Programme Assessment Board:PAB" </w:instrText>
            </w:r>
            <w:r w:rsidRPr="00DF6532">
              <w:rPr>
                <w:snapToGrid w:val="0"/>
              </w:rPr>
              <w:fldChar w:fldCharType="end"/>
            </w:r>
          </w:p>
        </w:tc>
      </w:tr>
      <w:tr w:rsidR="002E3234" w:rsidRPr="00E35D3B" w14:paraId="0CEBFBF7" w14:textId="77777777" w:rsidTr="00BD1EEB">
        <w:tc>
          <w:tcPr>
            <w:tcW w:w="1413" w:type="dxa"/>
          </w:tcPr>
          <w:p w14:paraId="2E614B86" w14:textId="42C6F631" w:rsidR="002E3234" w:rsidRPr="00DF6532" w:rsidRDefault="002E3234" w:rsidP="002E3234">
            <w:pPr>
              <w:spacing w:line="240" w:lineRule="auto"/>
              <w:rPr>
                <w:snapToGrid w:val="0"/>
              </w:rPr>
            </w:pPr>
            <w:r w:rsidRPr="00DF6532">
              <w:rPr>
                <w:snapToGrid w:val="0"/>
              </w:rPr>
              <w:t>QAA</w:t>
            </w:r>
          </w:p>
        </w:tc>
        <w:tc>
          <w:tcPr>
            <w:tcW w:w="7603" w:type="dxa"/>
          </w:tcPr>
          <w:p w14:paraId="659B2BCB" w14:textId="65DF8825" w:rsidR="002E3234" w:rsidRPr="00DF6532" w:rsidRDefault="002E3234" w:rsidP="002E3234">
            <w:pPr>
              <w:spacing w:line="240" w:lineRule="auto"/>
              <w:rPr>
                <w:snapToGrid w:val="0"/>
              </w:rPr>
            </w:pPr>
            <w:r w:rsidRPr="00DF6532">
              <w:rPr>
                <w:snapToGrid w:val="0"/>
              </w:rPr>
              <w:t>Quality Assurance Agency</w:t>
            </w:r>
            <w:r w:rsidRPr="00DF6532">
              <w:rPr>
                <w:snapToGrid w:val="0"/>
              </w:rPr>
              <w:fldChar w:fldCharType="begin"/>
            </w:r>
            <w:r w:rsidRPr="00DF6532">
              <w:rPr>
                <w:snapToGrid w:val="0"/>
              </w:rPr>
              <w:instrText xml:space="preserve"> XE "Quality Assurance Agency:QAA" </w:instrText>
            </w:r>
            <w:r w:rsidRPr="00DF6532">
              <w:rPr>
                <w:snapToGrid w:val="0"/>
              </w:rPr>
              <w:fldChar w:fldCharType="end"/>
            </w:r>
          </w:p>
        </w:tc>
      </w:tr>
      <w:tr w:rsidR="002E3234" w:rsidRPr="00E35D3B" w14:paraId="115E83ED" w14:textId="77777777" w:rsidTr="00BD1EEB">
        <w:tc>
          <w:tcPr>
            <w:tcW w:w="1413" w:type="dxa"/>
          </w:tcPr>
          <w:p w14:paraId="46D244F0" w14:textId="4B76E52F" w:rsidR="002E3234" w:rsidRPr="00DF6532" w:rsidRDefault="002E3234" w:rsidP="002E3234">
            <w:pPr>
              <w:spacing w:line="240" w:lineRule="auto"/>
              <w:rPr>
                <w:snapToGrid w:val="0"/>
              </w:rPr>
            </w:pPr>
            <w:r w:rsidRPr="00DF6532">
              <w:rPr>
                <w:snapToGrid w:val="0"/>
              </w:rPr>
              <w:t>QAE</w:t>
            </w:r>
          </w:p>
        </w:tc>
        <w:tc>
          <w:tcPr>
            <w:tcW w:w="7603" w:type="dxa"/>
          </w:tcPr>
          <w:p w14:paraId="5034B708" w14:textId="2B430B93" w:rsidR="002E3234" w:rsidRPr="00DF6532" w:rsidRDefault="002E3234" w:rsidP="002E3234">
            <w:pPr>
              <w:spacing w:line="240" w:lineRule="auto"/>
              <w:rPr>
                <w:snapToGrid w:val="0"/>
              </w:rPr>
            </w:pPr>
            <w:r w:rsidRPr="00DF6532">
              <w:rPr>
                <w:snapToGrid w:val="0"/>
              </w:rPr>
              <w:t>Quality Assurance and Enhancement</w:t>
            </w:r>
          </w:p>
        </w:tc>
      </w:tr>
      <w:tr w:rsidR="002E3234" w:rsidRPr="00E35D3B" w14:paraId="243D527A" w14:textId="77777777" w:rsidTr="00BD1EEB">
        <w:tc>
          <w:tcPr>
            <w:tcW w:w="1413" w:type="dxa"/>
          </w:tcPr>
          <w:p w14:paraId="676FBBCB" w14:textId="461FD587" w:rsidR="002E3234" w:rsidRPr="00DF6532" w:rsidRDefault="002E3234" w:rsidP="002E3234">
            <w:pPr>
              <w:spacing w:line="240" w:lineRule="auto"/>
              <w:rPr>
                <w:snapToGrid w:val="0"/>
              </w:rPr>
            </w:pPr>
            <w:r>
              <w:rPr>
                <w:snapToGrid w:val="0"/>
              </w:rPr>
              <w:lastRenderedPageBreak/>
              <w:t>RASC</w:t>
            </w:r>
          </w:p>
        </w:tc>
        <w:tc>
          <w:tcPr>
            <w:tcW w:w="7603" w:type="dxa"/>
          </w:tcPr>
          <w:p w14:paraId="44845853" w14:textId="4E4F6EB0" w:rsidR="002E3234" w:rsidRPr="00DF6532" w:rsidRDefault="002E3234" w:rsidP="002E3234">
            <w:pPr>
              <w:spacing w:line="240" w:lineRule="auto"/>
              <w:rPr>
                <w:snapToGrid w:val="0"/>
              </w:rPr>
            </w:pPr>
            <w:r>
              <w:rPr>
                <w:snapToGrid w:val="0"/>
              </w:rPr>
              <w:t>Regulations, Assessment &amp; Student Casework</w:t>
            </w:r>
          </w:p>
        </w:tc>
      </w:tr>
      <w:tr w:rsidR="002E3234" w:rsidRPr="00E35D3B" w14:paraId="7E9125B5" w14:textId="77777777" w:rsidTr="00BD1EEB">
        <w:tc>
          <w:tcPr>
            <w:tcW w:w="1413" w:type="dxa"/>
          </w:tcPr>
          <w:p w14:paraId="27FE9349" w14:textId="58563D30" w:rsidR="002E3234" w:rsidRPr="00DF6532" w:rsidRDefault="002E3234" w:rsidP="002E3234">
            <w:pPr>
              <w:spacing w:line="240" w:lineRule="auto"/>
              <w:rPr>
                <w:snapToGrid w:val="0"/>
              </w:rPr>
            </w:pPr>
            <w:r w:rsidRPr="00DF6532">
              <w:rPr>
                <w:snapToGrid w:val="0"/>
              </w:rPr>
              <w:t>RFC</w:t>
            </w:r>
          </w:p>
        </w:tc>
        <w:tc>
          <w:tcPr>
            <w:tcW w:w="7603" w:type="dxa"/>
          </w:tcPr>
          <w:p w14:paraId="6C652033" w14:textId="7F763FD0" w:rsidR="002E3234" w:rsidRPr="00DF6532" w:rsidRDefault="002E3234" w:rsidP="002E3234">
            <w:pPr>
              <w:spacing w:line="240" w:lineRule="auto"/>
              <w:rPr>
                <w:snapToGrid w:val="0"/>
              </w:rPr>
            </w:pPr>
            <w:r w:rsidRPr="00DF6532">
              <w:rPr>
                <w:snapToGrid w:val="0"/>
              </w:rPr>
              <w:t>Regulatory Framework Committee</w:t>
            </w:r>
          </w:p>
        </w:tc>
      </w:tr>
    </w:tbl>
    <w:p w14:paraId="32B9208F" w14:textId="77777777" w:rsidR="00365910" w:rsidRDefault="00365910" w:rsidP="00BD1EEB">
      <w:pPr>
        <w:pStyle w:val="Heading2"/>
        <w:sectPr w:rsidR="00365910">
          <w:footerReference w:type="default" r:id="rId11"/>
          <w:pgSz w:w="11906" w:h="16838"/>
          <w:pgMar w:top="1440" w:right="1440" w:bottom="1440" w:left="1440" w:header="708" w:footer="708" w:gutter="0"/>
          <w:cols w:space="708"/>
          <w:docGrid w:linePitch="360"/>
        </w:sectPr>
      </w:pPr>
      <w:bookmarkStart w:id="10" w:name="_Toc97630755"/>
    </w:p>
    <w:p w14:paraId="11E0E3B0" w14:textId="2303F554" w:rsidR="00D77A56" w:rsidRPr="008A0FF9" w:rsidRDefault="004506FC" w:rsidP="00BD1EEB">
      <w:pPr>
        <w:pStyle w:val="Heading2"/>
      </w:pPr>
      <w:bookmarkStart w:id="11" w:name="_Toc203731643"/>
      <w:r>
        <w:lastRenderedPageBreak/>
        <w:t>Definition</w:t>
      </w:r>
      <w:bookmarkEnd w:id="10"/>
      <w:bookmarkEnd w:id="11"/>
      <w:r w:rsidR="00783B16">
        <w:t xml:space="preserve"> </w:t>
      </w:r>
    </w:p>
    <w:p w14:paraId="5D993C8D" w14:textId="2B2CAE01" w:rsidR="004506FC" w:rsidRPr="00C02DA8" w:rsidRDefault="004506FC" w:rsidP="00B00AD6">
      <w:pPr>
        <w:pStyle w:val="ListParagraph"/>
        <w:numPr>
          <w:ilvl w:val="0"/>
          <w:numId w:val="11"/>
        </w:numPr>
        <w:spacing w:before="0" w:line="240" w:lineRule="auto"/>
        <w:rPr>
          <w:rFonts w:cs="Arial"/>
        </w:rPr>
      </w:pPr>
      <w:r w:rsidRPr="00C02DA8">
        <w:rPr>
          <w:rFonts w:cs="Arial"/>
        </w:rPr>
        <w:t>External examiners</w:t>
      </w:r>
      <w:r w:rsidR="00360674" w:rsidRPr="00C02DA8">
        <w:rPr>
          <w:rFonts w:cs="Arial"/>
        </w:rPr>
        <w:t xml:space="preserve"> are</w:t>
      </w:r>
      <w:r w:rsidRPr="00C02DA8">
        <w:rPr>
          <w:rFonts w:cs="Arial"/>
        </w:rPr>
        <w:t xml:space="preserve"> appointed by the University</w:t>
      </w:r>
      <w:r w:rsidR="0068323A" w:rsidRPr="00C02DA8">
        <w:rPr>
          <w:rFonts w:cs="Arial"/>
        </w:rPr>
        <w:t xml:space="preserve"> from UK HEIs, practice and industry</w:t>
      </w:r>
      <w:r w:rsidR="0068323A" w:rsidRPr="00C02DA8">
        <w:rPr>
          <w:rFonts w:cs="Arial"/>
          <w:i/>
          <w:iCs/>
        </w:rPr>
        <w:t xml:space="preserve"> </w:t>
      </w:r>
      <w:r w:rsidRPr="00C02DA8">
        <w:rPr>
          <w:rFonts w:cs="Arial"/>
        </w:rPr>
        <w:t>to be</w:t>
      </w:r>
      <w:r w:rsidR="00190F2D" w:rsidRPr="00C02DA8">
        <w:rPr>
          <w:rFonts w:cs="Arial"/>
        </w:rPr>
        <w:t xml:space="preserve"> independent</w:t>
      </w:r>
      <w:r w:rsidRPr="00C02DA8">
        <w:rPr>
          <w:rFonts w:cs="Arial"/>
        </w:rPr>
        <w:t xml:space="preserve"> auditors of the assessment system of the University, its academic standards, assessment regulations, processes and procedures.</w:t>
      </w:r>
    </w:p>
    <w:p w14:paraId="1EAC1AFA" w14:textId="77777777" w:rsidR="00CA0AF8" w:rsidRDefault="00CA0AF8" w:rsidP="00BD1EEB">
      <w:pPr>
        <w:pStyle w:val="Heading2"/>
      </w:pPr>
      <w:bookmarkStart w:id="12" w:name="_Toc97630756"/>
    </w:p>
    <w:p w14:paraId="006206C9" w14:textId="7AC625FB" w:rsidR="00783B16" w:rsidRPr="008A0FF9" w:rsidRDefault="00783B16" w:rsidP="00BD1EEB">
      <w:pPr>
        <w:pStyle w:val="Heading2"/>
      </w:pPr>
      <w:bookmarkStart w:id="13" w:name="_Toc203731644"/>
      <w:r>
        <w:t>Purpose</w:t>
      </w:r>
      <w:bookmarkEnd w:id="12"/>
      <w:bookmarkEnd w:id="13"/>
      <w:r>
        <w:t xml:space="preserve"> </w:t>
      </w:r>
    </w:p>
    <w:p w14:paraId="5A12B883" w14:textId="4FDE0EB0" w:rsidR="00783B16" w:rsidRPr="008A0FF9" w:rsidRDefault="00783B16" w:rsidP="00BD1EEB">
      <w:pPr>
        <w:pStyle w:val="ListParagraph"/>
        <w:numPr>
          <w:ilvl w:val="0"/>
          <w:numId w:val="11"/>
        </w:numPr>
        <w:spacing w:before="0" w:line="240" w:lineRule="auto"/>
      </w:pPr>
      <w:r w:rsidRPr="008A0FF9">
        <w:t xml:space="preserve">The University has defined the purpose of the external examiner system </w:t>
      </w:r>
      <w:r w:rsidR="00E02FFE">
        <w:t>as follows</w:t>
      </w:r>
      <w:r w:rsidRPr="008A0FF9">
        <w:t>:</w:t>
      </w:r>
    </w:p>
    <w:p w14:paraId="77398C7F" w14:textId="77777777" w:rsidR="00385287" w:rsidRDefault="00385287" w:rsidP="00385287">
      <w:pPr>
        <w:pStyle w:val="ListParagraph"/>
        <w:spacing w:before="0" w:line="240" w:lineRule="auto"/>
      </w:pPr>
    </w:p>
    <w:p w14:paraId="1CF55AC5" w14:textId="0CD1EA38" w:rsidR="00783B16" w:rsidRPr="008A0FF9" w:rsidRDefault="2EFE081B" w:rsidP="00C43188">
      <w:pPr>
        <w:pStyle w:val="ListParagraph"/>
        <w:numPr>
          <w:ilvl w:val="0"/>
          <w:numId w:val="30"/>
        </w:numPr>
        <w:spacing w:before="0" w:line="240" w:lineRule="auto"/>
      </w:pPr>
      <w:r>
        <w:t>T</w:t>
      </w:r>
      <w:r w:rsidR="036E510C">
        <w:t xml:space="preserve">o help ensure that all </w:t>
      </w:r>
      <w:r w:rsidR="00467C65">
        <w:t xml:space="preserve">Kingston University </w:t>
      </w:r>
      <w:r w:rsidR="036E510C">
        <w:t xml:space="preserve">awards meet the standards expected by the University and </w:t>
      </w:r>
      <w:r w:rsidR="6AD8240D">
        <w:t xml:space="preserve">align to </w:t>
      </w:r>
      <w:r w:rsidR="036E510C">
        <w:t xml:space="preserve">the standards of similar awards </w:t>
      </w:r>
      <w:r w:rsidR="20E432CE">
        <w:t>across the UK higher education sector</w:t>
      </w:r>
    </w:p>
    <w:p w14:paraId="4107EB7E" w14:textId="77777777" w:rsidR="00385287" w:rsidRDefault="00385287" w:rsidP="00385287">
      <w:pPr>
        <w:pStyle w:val="ListParagraph"/>
        <w:spacing w:before="0" w:line="240" w:lineRule="auto"/>
      </w:pPr>
    </w:p>
    <w:p w14:paraId="46D6754D" w14:textId="344559CA" w:rsidR="00783B16" w:rsidRPr="008A0FF9" w:rsidRDefault="00467C65" w:rsidP="004015C1">
      <w:pPr>
        <w:pStyle w:val="ListParagraph"/>
        <w:spacing w:before="0" w:line="240" w:lineRule="auto"/>
      </w:pPr>
      <w:r>
        <w:t>a</w:t>
      </w:r>
      <w:r w:rsidR="00783B16" w:rsidRPr="008A0FF9">
        <w:t>nd</w:t>
      </w:r>
      <w:r w:rsidR="00572544">
        <w:t>,</w:t>
      </w:r>
    </w:p>
    <w:p w14:paraId="3C3B8BE9" w14:textId="77777777" w:rsidR="0059525E" w:rsidRDefault="0059525E" w:rsidP="0059525E">
      <w:pPr>
        <w:pStyle w:val="ListParagraph"/>
        <w:spacing w:before="0" w:line="240" w:lineRule="auto"/>
      </w:pPr>
    </w:p>
    <w:p w14:paraId="61C9B114" w14:textId="2F8FD718" w:rsidR="00E10BA9" w:rsidRPr="001C6B30" w:rsidRDefault="2EFE081B" w:rsidP="00C43188">
      <w:pPr>
        <w:pStyle w:val="ListParagraph"/>
        <w:numPr>
          <w:ilvl w:val="0"/>
          <w:numId w:val="30"/>
        </w:numPr>
        <w:spacing w:before="0" w:line="240" w:lineRule="auto"/>
      </w:pPr>
      <w:r>
        <w:t>T</w:t>
      </w:r>
      <w:r w:rsidR="4CBA495C">
        <w:t xml:space="preserve">o provide an external evaluation of the effectiveness of academic regulations and </w:t>
      </w:r>
      <w:r w:rsidR="3E9AC1D6">
        <w:t xml:space="preserve">the </w:t>
      </w:r>
      <w:r w:rsidR="4CBA495C">
        <w:t>consistent and fair application of those regulations and associated processes and procedures.</w:t>
      </w:r>
    </w:p>
    <w:p w14:paraId="438E99BA" w14:textId="77777777" w:rsidR="004015C1" w:rsidRDefault="004015C1" w:rsidP="00BD1EEB">
      <w:pPr>
        <w:pStyle w:val="Heading2"/>
      </w:pPr>
      <w:bookmarkStart w:id="14" w:name="_Toc97630757"/>
    </w:p>
    <w:p w14:paraId="5478CFDF" w14:textId="2D1B1EE2" w:rsidR="0059525E" w:rsidRDefault="008F051C" w:rsidP="00C43188">
      <w:pPr>
        <w:pStyle w:val="Heading2"/>
      </w:pPr>
      <w:bookmarkStart w:id="15" w:name="_Toc203731645"/>
      <w:r>
        <w:t>Types of External Examiners</w:t>
      </w:r>
      <w:bookmarkEnd w:id="14"/>
      <w:bookmarkEnd w:id="15"/>
    </w:p>
    <w:p w14:paraId="7713CDBE" w14:textId="77777777" w:rsidR="00997814" w:rsidRDefault="00997814" w:rsidP="00BD1EEB">
      <w:pPr>
        <w:spacing w:line="240" w:lineRule="auto"/>
        <w:rPr>
          <w:rStyle w:val="Heading3Char"/>
        </w:rPr>
      </w:pPr>
      <w:bookmarkStart w:id="16" w:name="_Toc97630758"/>
    </w:p>
    <w:p w14:paraId="42693A55" w14:textId="5B2F8970" w:rsidR="00857FCA" w:rsidRPr="00857FCA" w:rsidRDefault="008F051C" w:rsidP="00BD1EEB">
      <w:pPr>
        <w:spacing w:line="240" w:lineRule="auto"/>
        <w:rPr>
          <w:rStyle w:val="Heading3Char"/>
        </w:rPr>
      </w:pPr>
      <w:bookmarkStart w:id="17" w:name="_Toc203731646"/>
      <w:r w:rsidRPr="06476E8A">
        <w:rPr>
          <w:rStyle w:val="Heading3Char"/>
        </w:rPr>
        <w:t>Subject External Examiners</w:t>
      </w:r>
      <w:bookmarkEnd w:id="16"/>
      <w:bookmarkEnd w:id="17"/>
    </w:p>
    <w:p w14:paraId="307D32C4" w14:textId="39BF8723" w:rsidR="00997814" w:rsidRPr="00997814" w:rsidRDefault="000E089D" w:rsidP="00BD1EEB">
      <w:pPr>
        <w:pStyle w:val="ListParagraph"/>
        <w:numPr>
          <w:ilvl w:val="0"/>
          <w:numId w:val="11"/>
        </w:numPr>
        <w:spacing w:before="0" w:line="240" w:lineRule="auto"/>
        <w:rPr>
          <w:rFonts w:cs="Arial"/>
          <w:i/>
          <w:iCs/>
        </w:rPr>
      </w:pPr>
      <w:r>
        <w:t>T</w:t>
      </w:r>
      <w:r w:rsidR="008F051C" w:rsidRPr="00CD1501">
        <w:t xml:space="preserve">he role of the subject external examiner is to advise the University on whether the academic standards of its modules are consistent with the standards defined by </w:t>
      </w:r>
      <w:r w:rsidR="00FD3790" w:rsidRPr="00CD1501">
        <w:t xml:space="preserve">the </w:t>
      </w:r>
      <w:r w:rsidR="008F051C" w:rsidRPr="00CD1501">
        <w:t>University,</w:t>
      </w:r>
      <w:r w:rsidR="00FD3790" w:rsidRPr="00CD1501">
        <w:t xml:space="preserve"> the</w:t>
      </w:r>
      <w:r w:rsidR="00C74F95">
        <w:t xml:space="preserve"> </w:t>
      </w:r>
      <w:hyperlink r:id="rId12" w:history="1">
        <w:r w:rsidR="00C74F95" w:rsidRPr="00C74F95">
          <w:rPr>
            <w:rStyle w:val="Hyperlink"/>
          </w:rPr>
          <w:t>Sector Recognised Standards</w:t>
        </w:r>
      </w:hyperlink>
      <w:r w:rsidR="00FD3790" w:rsidRPr="00CD1501">
        <w:t>,</w:t>
      </w:r>
      <w:r w:rsidR="008F051C" w:rsidRPr="00CD1501">
        <w:t xml:space="preserve"> the standards of similar </w:t>
      </w:r>
      <w:r w:rsidR="00E771A7" w:rsidRPr="00CD1501">
        <w:t>provision</w:t>
      </w:r>
      <w:r w:rsidR="008F051C" w:rsidRPr="00CD1501">
        <w:t xml:space="preserve"> </w:t>
      </w:r>
      <w:r w:rsidR="00E771A7" w:rsidRPr="00CD1501">
        <w:t>in the UK higher education sector</w:t>
      </w:r>
      <w:r w:rsidR="008F051C" w:rsidRPr="00CD1501">
        <w:t xml:space="preserve"> and the standards </w:t>
      </w:r>
      <w:r w:rsidR="00E771A7" w:rsidRPr="00CD1501">
        <w:t>required</w:t>
      </w:r>
      <w:r w:rsidR="008F051C" w:rsidRPr="00CD1501">
        <w:t xml:space="preserve"> by </w:t>
      </w:r>
      <w:r w:rsidR="00E771A7" w:rsidRPr="00CD1501">
        <w:t xml:space="preserve">professional, statutory and regulatory bodies. </w:t>
      </w:r>
      <w:r w:rsidR="00054AF4" w:rsidRPr="00CD1501">
        <w:t xml:space="preserve">Please refer to the guidance document </w:t>
      </w:r>
      <w:r w:rsidR="00477B5C" w:rsidRPr="00CD1501">
        <w:t>IG</w:t>
      </w:r>
      <w:r w:rsidR="002733CE">
        <w:t xml:space="preserve"> </w:t>
      </w:r>
      <w:r w:rsidR="00477B5C" w:rsidRPr="00CD1501">
        <w:t xml:space="preserve">(iv) for the rights and responsibilities </w:t>
      </w:r>
      <w:r w:rsidR="00827809" w:rsidRPr="00CD1501">
        <w:t>of subject external examiners</w:t>
      </w:r>
      <w:r w:rsidR="00827809" w:rsidRPr="00290CAD">
        <w:rPr>
          <w:rFonts w:cs="Arial"/>
        </w:rPr>
        <w:t xml:space="preserve">. </w:t>
      </w:r>
      <w:bookmarkStart w:id="18" w:name="_Toc97630759"/>
    </w:p>
    <w:p w14:paraId="7061ED94" w14:textId="77777777" w:rsidR="00997814" w:rsidRPr="00997814" w:rsidRDefault="00997814" w:rsidP="00997814">
      <w:pPr>
        <w:pStyle w:val="ListParagraph"/>
        <w:spacing w:before="0" w:line="240" w:lineRule="auto"/>
        <w:rPr>
          <w:rFonts w:cs="Arial"/>
          <w:i/>
          <w:iCs/>
        </w:rPr>
      </w:pPr>
    </w:p>
    <w:p w14:paraId="2462F7E8" w14:textId="0B71E2D8" w:rsidR="001C6B30" w:rsidRPr="001C6B30" w:rsidRDefault="008F051C" w:rsidP="00BD1EEB">
      <w:pPr>
        <w:pStyle w:val="Heading3"/>
      </w:pPr>
      <w:bookmarkStart w:id="19" w:name="_Toc203731647"/>
      <w:r>
        <w:t>Programme Assessment Board (PAB) External Examiners</w:t>
      </w:r>
      <w:bookmarkEnd w:id="18"/>
      <w:bookmarkEnd w:id="19"/>
    </w:p>
    <w:p w14:paraId="559003C5" w14:textId="748F3E15" w:rsidR="008D6171" w:rsidRPr="00290CAD" w:rsidRDefault="000E089D" w:rsidP="00BD1EEB">
      <w:pPr>
        <w:pStyle w:val="ListParagraph"/>
        <w:numPr>
          <w:ilvl w:val="0"/>
          <w:numId w:val="11"/>
        </w:numPr>
        <w:spacing w:before="0" w:line="240" w:lineRule="auto"/>
        <w:rPr>
          <w:i/>
          <w:iCs/>
        </w:rPr>
      </w:pPr>
      <w:r>
        <w:t>T</w:t>
      </w:r>
      <w:r w:rsidR="00FD3790" w:rsidRPr="00CD1501">
        <w:t>he role of the</w:t>
      </w:r>
      <w:r w:rsidR="008F051C" w:rsidRPr="00CD1501">
        <w:t xml:space="preserve"> </w:t>
      </w:r>
      <w:r w:rsidR="00FD3790" w:rsidRPr="00CD1501">
        <w:t>PAB external examiner is t</w:t>
      </w:r>
      <w:r w:rsidR="008F051C" w:rsidRPr="00CD1501">
        <w:t xml:space="preserve">o </w:t>
      </w:r>
      <w:r w:rsidR="008D6171" w:rsidRPr="00CD1501">
        <w:t>ensure</w:t>
      </w:r>
      <w:r w:rsidR="008F051C" w:rsidRPr="00CD1501">
        <w:t xml:space="preserve"> that assessment boards are </w:t>
      </w:r>
      <w:r w:rsidR="008D6171" w:rsidRPr="00CD1501">
        <w:t xml:space="preserve">conducted as per the University’s guidelines on assessment board processes and </w:t>
      </w:r>
      <w:proofErr w:type="gramStart"/>
      <w:r w:rsidR="008D6171" w:rsidRPr="00CD1501">
        <w:t>in particular that</w:t>
      </w:r>
      <w:proofErr w:type="gramEnd"/>
      <w:r w:rsidR="008D6171" w:rsidRPr="00CD1501">
        <w:t xml:space="preserve"> there is equity of treatment to all students.</w:t>
      </w:r>
      <w:r w:rsidR="00827809" w:rsidRPr="00CD1501">
        <w:t xml:space="preserve"> Please refer to the guidance document IG(v) for the rights and responsibilities of PAB external examiners. </w:t>
      </w:r>
    </w:p>
    <w:p w14:paraId="1A1BEC8D" w14:textId="77777777" w:rsidR="0096581F" w:rsidRDefault="0096581F" w:rsidP="00BD1EEB">
      <w:pPr>
        <w:pStyle w:val="Heading3"/>
      </w:pPr>
      <w:bookmarkStart w:id="20" w:name="_Toc97630760"/>
    </w:p>
    <w:p w14:paraId="07D6E4A7" w14:textId="19C4BEE1" w:rsidR="001C6B30" w:rsidRDefault="009A6C45" w:rsidP="00BD1EEB">
      <w:pPr>
        <w:pStyle w:val="Heading3"/>
      </w:pPr>
      <w:bookmarkStart w:id="21" w:name="_Toc203731648"/>
      <w:r>
        <w:t xml:space="preserve">Higher &amp; Degree </w:t>
      </w:r>
      <w:r w:rsidR="008F051C">
        <w:t>Apprenticeship</w:t>
      </w:r>
      <w:r>
        <w:t xml:space="preserve"> (HDA)</w:t>
      </w:r>
      <w:r w:rsidR="008F051C">
        <w:t xml:space="preserve"> External Examiners</w:t>
      </w:r>
      <w:bookmarkEnd w:id="20"/>
      <w:bookmarkEnd w:id="21"/>
      <w:r w:rsidR="008F051C">
        <w:t xml:space="preserve"> </w:t>
      </w:r>
    </w:p>
    <w:p w14:paraId="5A62C8BA" w14:textId="1BA23B09" w:rsidR="00783B16" w:rsidRPr="00CD1501" w:rsidRDefault="00E66C67" w:rsidP="00BD1EEB">
      <w:pPr>
        <w:pStyle w:val="ListParagraph"/>
        <w:numPr>
          <w:ilvl w:val="0"/>
          <w:numId w:val="11"/>
        </w:numPr>
        <w:spacing w:before="0" w:line="240" w:lineRule="auto"/>
      </w:pPr>
      <w:r>
        <w:t>T</w:t>
      </w:r>
      <w:r w:rsidR="008D6171" w:rsidRPr="00CD1501">
        <w:t xml:space="preserve">he role of the </w:t>
      </w:r>
      <w:r w:rsidR="00BF434E">
        <w:t>HDA</w:t>
      </w:r>
      <w:r w:rsidR="008D6171" w:rsidRPr="00CD1501">
        <w:t xml:space="preserve"> external examiner is to ensure that the University’s higher and degree apprenticeship provision adheres to UK sector agreed apprenticeship standards and frameworks, and that they are delivered in accordance with the University’s academic policies and regulations, ensuring there is equity of treatment of all apprentices</w:t>
      </w:r>
      <w:r w:rsidR="00700A28">
        <w:t>.</w:t>
      </w:r>
      <w:r w:rsidR="00E10BA9" w:rsidRPr="00CD1501">
        <w:t xml:space="preserve"> </w:t>
      </w:r>
      <w:r w:rsidR="002C4CC7" w:rsidRPr="00CD1501">
        <w:t>Please refer to the guidance document IG</w:t>
      </w:r>
      <w:r w:rsidR="002733CE">
        <w:t xml:space="preserve"> </w:t>
      </w:r>
      <w:r w:rsidR="002C4CC7" w:rsidRPr="00CD1501">
        <w:t>(v</w:t>
      </w:r>
      <w:r w:rsidR="002C4CC7">
        <w:t>i</w:t>
      </w:r>
      <w:r w:rsidR="002C4CC7" w:rsidRPr="00CD1501">
        <w:t xml:space="preserve">) for the rights and responsibilities of </w:t>
      </w:r>
      <w:r w:rsidR="002D50E5">
        <w:t>HDA</w:t>
      </w:r>
      <w:r w:rsidR="002C4CC7" w:rsidRPr="00CD1501">
        <w:t xml:space="preserve"> external examiners.</w:t>
      </w:r>
    </w:p>
    <w:p w14:paraId="16A4D6F4" w14:textId="77777777" w:rsidR="0096581F" w:rsidRDefault="0096581F" w:rsidP="00BD1EEB">
      <w:pPr>
        <w:pStyle w:val="Heading2"/>
      </w:pPr>
      <w:bookmarkStart w:id="22" w:name="_Toc97630761"/>
    </w:p>
    <w:p w14:paraId="4B28ADAD" w14:textId="6C50A9C3" w:rsidR="00783B16" w:rsidRPr="00B63E92" w:rsidRDefault="004506FC" w:rsidP="00BD1EEB">
      <w:pPr>
        <w:pStyle w:val="Heading2"/>
      </w:pPr>
      <w:bookmarkStart w:id="23" w:name="_Toc203731649"/>
      <w:r>
        <w:t>Appointment</w:t>
      </w:r>
      <w:r w:rsidR="00E35D3B">
        <w:t xml:space="preserve"> of External Examiners</w:t>
      </w:r>
      <w:bookmarkEnd w:id="22"/>
      <w:bookmarkEnd w:id="23"/>
    </w:p>
    <w:p w14:paraId="6F4B0CA3" w14:textId="77777777" w:rsidR="0096581F" w:rsidRDefault="0096581F" w:rsidP="00BD1EEB">
      <w:pPr>
        <w:pStyle w:val="xmsolistparagraph"/>
        <w:ind w:left="0"/>
        <w:rPr>
          <w:rStyle w:val="Heading3Char"/>
        </w:rPr>
      </w:pPr>
    </w:p>
    <w:p w14:paraId="231759CF" w14:textId="4CD700EB" w:rsidR="00783B16" w:rsidRPr="001C6B30" w:rsidRDefault="0071201B" w:rsidP="00BD1EEB">
      <w:pPr>
        <w:pStyle w:val="xmsolistparagraph"/>
        <w:ind w:left="0"/>
        <w:rPr>
          <w:rFonts w:ascii="Arial" w:eastAsia="Times New Roman" w:hAnsi="Arial" w:cs="Arial"/>
          <w:b/>
          <w:bCs/>
        </w:rPr>
      </w:pPr>
      <w:bookmarkStart w:id="24" w:name="_Toc203731650"/>
      <w:r w:rsidRPr="06476E8A">
        <w:rPr>
          <w:rStyle w:val="Heading3Char"/>
        </w:rPr>
        <w:t>Peri</w:t>
      </w:r>
      <w:r w:rsidR="004506FC" w:rsidRPr="06476E8A">
        <w:rPr>
          <w:rStyle w:val="Heading3Char"/>
        </w:rPr>
        <w:t>od of Appointment, Extensions and Additional Duties</w:t>
      </w:r>
      <w:bookmarkEnd w:id="24"/>
      <w:r w:rsidR="004506FC" w:rsidRPr="06476E8A">
        <w:rPr>
          <w:rStyle w:val="Heading3Char"/>
        </w:rPr>
        <w:t xml:space="preserve"> </w:t>
      </w:r>
    </w:p>
    <w:p w14:paraId="4328D739" w14:textId="0B390796" w:rsidR="00631B5C" w:rsidRPr="001C6B30" w:rsidRDefault="00B63E92" w:rsidP="00BD1EEB">
      <w:pPr>
        <w:pStyle w:val="ListParagraph"/>
        <w:numPr>
          <w:ilvl w:val="0"/>
          <w:numId w:val="11"/>
        </w:numPr>
        <w:spacing w:before="0" w:line="240" w:lineRule="auto"/>
      </w:pPr>
      <w:r w:rsidRPr="001C6B30">
        <w:t xml:space="preserve">The Education Committee is responsible (on behalf of Academic Council) for the oversight of all external examiner appointments. </w:t>
      </w:r>
      <w:r w:rsidR="008A0FF9" w:rsidRPr="001C6B30">
        <w:t>Appointments will be for a period which allows the</w:t>
      </w:r>
      <w:r w:rsidR="00FD3471" w:rsidRPr="001C6B30">
        <w:t xml:space="preserve"> external</w:t>
      </w:r>
      <w:r w:rsidR="008A0FF9" w:rsidRPr="001C6B30">
        <w:t xml:space="preserve"> examiner to assess </w:t>
      </w:r>
      <w:r w:rsidR="0079435E">
        <w:t xml:space="preserve">five </w:t>
      </w:r>
      <w:r w:rsidR="008A0FF9" w:rsidRPr="001C6B30">
        <w:t xml:space="preserve">successive cohorts of students </w:t>
      </w:r>
      <w:r w:rsidR="004267E9" w:rsidRPr="001C6B30">
        <w:t>i.e.,</w:t>
      </w:r>
      <w:r w:rsidR="008A0FF9" w:rsidRPr="001C6B30">
        <w:t xml:space="preserve"> normally </w:t>
      </w:r>
      <w:r w:rsidR="0079435E">
        <w:t xml:space="preserve">five </w:t>
      </w:r>
      <w:r w:rsidR="008A0FF9" w:rsidRPr="001C6B30">
        <w:t>years</w:t>
      </w:r>
      <w:r w:rsidR="004267E9" w:rsidRPr="001C6B30">
        <w:t xml:space="preserve">. </w:t>
      </w:r>
      <w:r w:rsidR="008A0FF9" w:rsidRPr="001C6B30">
        <w:t xml:space="preserve">Appointments should cover academic years and normally commence in </w:t>
      </w:r>
      <w:r w:rsidRPr="001C6B30">
        <w:t>August</w:t>
      </w:r>
      <w:r w:rsidR="003E3B42">
        <w:t>.</w:t>
      </w:r>
    </w:p>
    <w:p w14:paraId="41FCB304" w14:textId="77777777" w:rsidR="0096581F" w:rsidRDefault="0096581F" w:rsidP="0096581F">
      <w:pPr>
        <w:pStyle w:val="ListParagraph"/>
        <w:spacing w:before="0" w:line="240" w:lineRule="auto"/>
      </w:pPr>
    </w:p>
    <w:p w14:paraId="3241076D" w14:textId="21E16DF1" w:rsidR="00574A0E" w:rsidRDefault="008A0FF9" w:rsidP="006663F8">
      <w:pPr>
        <w:pStyle w:val="ListParagraph"/>
        <w:numPr>
          <w:ilvl w:val="0"/>
          <w:numId w:val="11"/>
        </w:numPr>
        <w:spacing w:before="0" w:line="240" w:lineRule="auto"/>
      </w:pPr>
      <w:r w:rsidRPr="001C6B30">
        <w:t xml:space="preserve">Where two or more </w:t>
      </w:r>
      <w:r w:rsidR="00C7756D" w:rsidRPr="001C6B30">
        <w:t xml:space="preserve">subject </w:t>
      </w:r>
      <w:r w:rsidRPr="001C6B30">
        <w:t xml:space="preserve">external examiners are required </w:t>
      </w:r>
      <w:r w:rsidR="00C7756D" w:rsidRPr="001C6B30">
        <w:t xml:space="preserve">for a subject area </w:t>
      </w:r>
      <w:r w:rsidRPr="001C6B30">
        <w:t xml:space="preserve">and </w:t>
      </w:r>
      <w:r w:rsidR="004267E9" w:rsidRPr="001C6B30">
        <w:t>to</w:t>
      </w:r>
      <w:r w:rsidRPr="001C6B30">
        <w:t xml:space="preserve"> alleviate the issue of both examiners’ tenures expiring at the same time, faculties may</w:t>
      </w:r>
      <w:r w:rsidR="00574A0E">
        <w:t xml:space="preserve"> </w:t>
      </w:r>
      <w:r w:rsidR="00BE11E6">
        <w:t xml:space="preserve">wish to consider staggering the appointment terms of their external examiners e.g. one </w:t>
      </w:r>
      <w:r w:rsidR="00D228F1">
        <w:t xml:space="preserve">external examiner has a four-year appointment </w:t>
      </w:r>
      <w:proofErr w:type="gramStart"/>
      <w:r w:rsidR="00D228F1">
        <w:t>period</w:t>
      </w:r>
      <w:proofErr w:type="gramEnd"/>
      <w:r w:rsidR="00D228F1">
        <w:t xml:space="preserve"> and one has a five-year appointment period.</w:t>
      </w:r>
    </w:p>
    <w:p w14:paraId="4F9B892D" w14:textId="77777777" w:rsidR="00CD3580" w:rsidRDefault="00CD3580" w:rsidP="00CD3580">
      <w:pPr>
        <w:spacing w:line="240" w:lineRule="auto"/>
      </w:pPr>
    </w:p>
    <w:p w14:paraId="3B4B9705" w14:textId="5EFE809A" w:rsidR="00937907" w:rsidRPr="001C6B30" w:rsidRDefault="008A0FF9" w:rsidP="00BD1EEB">
      <w:pPr>
        <w:pStyle w:val="ListParagraph"/>
        <w:numPr>
          <w:ilvl w:val="0"/>
          <w:numId w:val="11"/>
        </w:numPr>
        <w:spacing w:before="0" w:line="240" w:lineRule="auto"/>
      </w:pPr>
      <w:r w:rsidRPr="001C6B30">
        <w:t xml:space="preserve">External </w:t>
      </w:r>
      <w:r w:rsidR="00C7756D" w:rsidRPr="001C6B30">
        <w:t>e</w:t>
      </w:r>
      <w:r w:rsidRPr="001C6B30">
        <w:t>xaminers</w:t>
      </w:r>
      <w:r w:rsidRPr="001C6B30">
        <w:fldChar w:fldCharType="begin"/>
      </w:r>
      <w:r w:rsidRPr="001C6B30">
        <w:instrText xml:space="preserve"> XE "External Examiners:EE" </w:instrText>
      </w:r>
      <w:r w:rsidRPr="001C6B30">
        <w:fldChar w:fldCharType="end"/>
      </w:r>
      <w:r w:rsidRPr="001C6B30">
        <w:t xml:space="preserve"> will not be allowed an extension except </w:t>
      </w:r>
      <w:r w:rsidR="00A418BF">
        <w:t>where a course is being closed and</w:t>
      </w:r>
      <w:r w:rsidR="00366B2A">
        <w:t xml:space="preserve"> </w:t>
      </w:r>
      <w:r w:rsidR="003103EF">
        <w:t xml:space="preserve">is in the process of teaching </w:t>
      </w:r>
      <w:r w:rsidR="00366B2A" w:rsidRPr="001C6B30">
        <w:t>out</w:t>
      </w:r>
      <w:r w:rsidR="00366B2A">
        <w:t>.</w:t>
      </w:r>
      <w:r w:rsidRPr="001C6B30">
        <w:t xml:space="preserve"> This request must be discussed with QAE before consultation with the external examiner. Approval can only be given by QAE</w:t>
      </w:r>
      <w:r w:rsidR="00366B2A">
        <w:t xml:space="preserve">. </w:t>
      </w:r>
    </w:p>
    <w:p w14:paraId="756A8037" w14:textId="77777777" w:rsidR="00574A0E" w:rsidRDefault="00574A0E" w:rsidP="00574A0E">
      <w:pPr>
        <w:pStyle w:val="ListParagraph"/>
        <w:spacing w:before="0" w:line="240" w:lineRule="auto"/>
      </w:pPr>
    </w:p>
    <w:p w14:paraId="70EC5B28" w14:textId="157E2CD8" w:rsidR="00631B5C" w:rsidRPr="001C6B30" w:rsidRDefault="00C7756D" w:rsidP="00BD1EEB">
      <w:pPr>
        <w:pStyle w:val="ListParagraph"/>
        <w:numPr>
          <w:ilvl w:val="0"/>
          <w:numId w:val="11"/>
        </w:numPr>
        <w:spacing w:before="0" w:line="240" w:lineRule="auto"/>
      </w:pPr>
      <w:r w:rsidRPr="001C6B30">
        <w:t>Subject e</w:t>
      </w:r>
      <w:r w:rsidR="008A0FF9" w:rsidRPr="001C6B30">
        <w:t xml:space="preserve">xternal </w:t>
      </w:r>
      <w:r w:rsidRPr="001C6B30">
        <w:t>e</w:t>
      </w:r>
      <w:r w:rsidR="008A0FF9" w:rsidRPr="001C6B30">
        <w:t>xaminers</w:t>
      </w:r>
      <w:r w:rsidR="008A0FF9" w:rsidRPr="001C6B30">
        <w:fldChar w:fldCharType="begin"/>
      </w:r>
      <w:r w:rsidR="008A0FF9" w:rsidRPr="001C6B30">
        <w:instrText xml:space="preserve"> XE "External Examiners:EE" </w:instrText>
      </w:r>
      <w:r w:rsidR="008A0FF9" w:rsidRPr="001C6B30">
        <w:fldChar w:fldCharType="end"/>
      </w:r>
      <w:r w:rsidR="008A0FF9" w:rsidRPr="001C6B30">
        <w:t xml:space="preserve"> can be </w:t>
      </w:r>
      <w:r w:rsidR="00F52332">
        <w:t xml:space="preserve">approached to </w:t>
      </w:r>
      <w:r w:rsidR="00485947">
        <w:t>take on</w:t>
      </w:r>
      <w:r w:rsidR="00F52332" w:rsidRPr="001C6B30">
        <w:t xml:space="preserve"> </w:t>
      </w:r>
      <w:r w:rsidR="008A0FF9" w:rsidRPr="001C6B30">
        <w:t>additional</w:t>
      </w:r>
      <w:r w:rsidR="00485947">
        <w:t xml:space="preserve"> external examining</w:t>
      </w:r>
      <w:r w:rsidR="008A0FF9" w:rsidRPr="001C6B30">
        <w:t xml:space="preserve"> duties</w:t>
      </w:r>
      <w:r w:rsidRPr="001C6B30">
        <w:t>,</w:t>
      </w:r>
      <w:r w:rsidR="008A0FF9" w:rsidRPr="001C6B30">
        <w:t xml:space="preserve"> for example to cover </w:t>
      </w:r>
      <w:r w:rsidR="00F81EB8">
        <w:t>additional modules</w:t>
      </w:r>
      <w:r w:rsidR="00402613" w:rsidRPr="001C6B30">
        <w:t>.</w:t>
      </w:r>
      <w:r w:rsidR="008A0FF9" w:rsidRPr="001C6B30">
        <w:t xml:space="preserve"> </w:t>
      </w:r>
    </w:p>
    <w:p w14:paraId="6A7CBE7A" w14:textId="77777777" w:rsidR="00574A0E" w:rsidRDefault="00574A0E" w:rsidP="00574A0E">
      <w:pPr>
        <w:pStyle w:val="ListParagraph"/>
        <w:spacing w:before="0" w:line="240" w:lineRule="auto"/>
      </w:pPr>
    </w:p>
    <w:p w14:paraId="5026DB63" w14:textId="1B556D37" w:rsidR="00631B5C" w:rsidRDefault="008A0FF9" w:rsidP="0026278B">
      <w:pPr>
        <w:pStyle w:val="ListParagraph"/>
        <w:numPr>
          <w:ilvl w:val="0"/>
          <w:numId w:val="11"/>
        </w:numPr>
        <w:spacing w:before="0" w:line="240" w:lineRule="auto"/>
      </w:pPr>
      <w:r w:rsidRPr="001C6B30">
        <w:t xml:space="preserve">The University pays a standard fee to </w:t>
      </w:r>
      <w:r w:rsidR="007F3330">
        <w:t>all</w:t>
      </w:r>
      <w:r w:rsidR="00C7756D" w:rsidRPr="001C6B30">
        <w:t xml:space="preserve"> </w:t>
      </w:r>
      <w:r w:rsidRPr="001C6B30">
        <w:t>external examiners (see Introduction guidance (iii) for the current fee levels).</w:t>
      </w:r>
      <w:r w:rsidR="00CF3331">
        <w:t xml:space="preserve"> Where an external examiner</w:t>
      </w:r>
      <w:r w:rsidR="0066153C">
        <w:t xml:space="preserve"> is asked to take on additiona</w:t>
      </w:r>
      <w:r w:rsidR="0026278B">
        <w:t>l modules outside of their original remit</w:t>
      </w:r>
      <w:r w:rsidR="00E43EBC">
        <w:t xml:space="preserve"> and </w:t>
      </w:r>
      <w:r w:rsidR="004D4BC7">
        <w:t xml:space="preserve">this </w:t>
      </w:r>
      <w:r w:rsidR="00E43EBC">
        <w:t xml:space="preserve">takes their module load above the </w:t>
      </w:r>
      <w:r w:rsidR="00EC515E">
        <w:t>maximum recommended</w:t>
      </w:r>
      <w:r w:rsidR="0026278B">
        <w:t>,</w:t>
      </w:r>
      <w:r w:rsidR="00CF3331">
        <w:t xml:space="preserve"> </w:t>
      </w:r>
      <w:r w:rsidR="00EC515E">
        <w:t>an additional fee may be paid</w:t>
      </w:r>
      <w:r w:rsidR="0091711D">
        <w:t xml:space="preserve"> using </w:t>
      </w:r>
      <w:r w:rsidR="007E310A">
        <w:t xml:space="preserve">the following </w:t>
      </w:r>
      <w:r w:rsidR="0026278B">
        <w:t xml:space="preserve">additional </w:t>
      </w:r>
      <w:r w:rsidR="007E310A">
        <w:t>fee</w:t>
      </w:r>
      <w:r w:rsidR="0030485B">
        <w:t xml:space="preserve"> payments</w:t>
      </w:r>
      <w:r w:rsidR="007E310A">
        <w:t>:</w:t>
      </w:r>
    </w:p>
    <w:p w14:paraId="5698BD42" w14:textId="77777777" w:rsidR="007E310A" w:rsidRDefault="007E310A" w:rsidP="00AA155B">
      <w:pPr>
        <w:pStyle w:val="ListParagraph"/>
      </w:pPr>
    </w:p>
    <w:p w14:paraId="4B31F535" w14:textId="374BA86E" w:rsidR="007E310A" w:rsidRDefault="007E310A" w:rsidP="007E310A">
      <w:pPr>
        <w:pStyle w:val="ListParagraph"/>
        <w:numPr>
          <w:ilvl w:val="1"/>
          <w:numId w:val="11"/>
        </w:numPr>
        <w:spacing w:before="0" w:line="240" w:lineRule="auto"/>
      </w:pPr>
      <w:r>
        <w:t xml:space="preserve">1 </w:t>
      </w:r>
      <w:r w:rsidR="00DF2BE1">
        <w:t>-</w:t>
      </w:r>
      <w:r>
        <w:t xml:space="preserve"> 2 additional modules - £100 additional fee</w:t>
      </w:r>
    </w:p>
    <w:p w14:paraId="7972B1A4" w14:textId="0430F17D" w:rsidR="00562787" w:rsidRPr="001C6B30" w:rsidRDefault="00562787" w:rsidP="00562787">
      <w:pPr>
        <w:pStyle w:val="ListParagraph"/>
        <w:numPr>
          <w:ilvl w:val="1"/>
          <w:numId w:val="11"/>
        </w:numPr>
        <w:spacing w:before="0" w:line="240" w:lineRule="auto"/>
      </w:pPr>
      <w:r>
        <w:t>3+ additional modules - £200 additional fee</w:t>
      </w:r>
    </w:p>
    <w:p w14:paraId="0D320136" w14:textId="77777777" w:rsidR="00574A0E" w:rsidRDefault="00574A0E" w:rsidP="00574A0E">
      <w:pPr>
        <w:pStyle w:val="ListParagraph"/>
        <w:spacing w:before="0" w:line="240" w:lineRule="auto"/>
      </w:pPr>
    </w:p>
    <w:p w14:paraId="37E3A206" w14:textId="1B1987B1" w:rsidR="008A0FF9" w:rsidRPr="001C6B30" w:rsidRDefault="008A0FF9" w:rsidP="00BD1EEB">
      <w:pPr>
        <w:pStyle w:val="ListParagraph"/>
        <w:numPr>
          <w:ilvl w:val="0"/>
          <w:numId w:val="11"/>
        </w:numPr>
        <w:spacing w:before="0" w:line="240" w:lineRule="auto"/>
      </w:pPr>
      <w:r w:rsidRPr="001C6B30">
        <w:t xml:space="preserve">Once a nomination has been approved a letter of appointment together with links to </w:t>
      </w:r>
      <w:r w:rsidR="00E34F75" w:rsidRPr="001C6B30">
        <w:t xml:space="preserve">supporting </w:t>
      </w:r>
      <w:r w:rsidR="0016520D" w:rsidRPr="001C6B30">
        <w:t xml:space="preserve">information </w:t>
      </w:r>
      <w:r w:rsidRPr="001C6B30">
        <w:t xml:space="preserve">are sent to the </w:t>
      </w:r>
      <w:r w:rsidR="006B3D5B" w:rsidRPr="001C6B30">
        <w:t>external examiner</w:t>
      </w:r>
      <w:r w:rsidRPr="001C6B30">
        <w:t xml:space="preserve"> by QAE and </w:t>
      </w:r>
      <w:r w:rsidR="00483798" w:rsidRPr="001C6B30">
        <w:t xml:space="preserve">confirmation </w:t>
      </w:r>
      <w:r w:rsidRPr="001C6B30">
        <w:t>passed to the faculty</w:t>
      </w:r>
      <w:r w:rsidR="00D0738F" w:rsidRPr="001C6B30">
        <w:t xml:space="preserve"> (for subject external examiners)</w:t>
      </w:r>
      <w:r w:rsidR="00FD3471" w:rsidRPr="001C6B30">
        <w:t xml:space="preserve"> and </w:t>
      </w:r>
      <w:r w:rsidR="00660B20">
        <w:t>RASC</w:t>
      </w:r>
      <w:r w:rsidR="00660B20" w:rsidRPr="001C6B30">
        <w:t xml:space="preserve"> </w:t>
      </w:r>
      <w:r w:rsidR="00D0738F" w:rsidRPr="001C6B30">
        <w:t>(for PAB external examiners)</w:t>
      </w:r>
      <w:r w:rsidRPr="001C6B30">
        <w:t xml:space="preserve">. </w:t>
      </w:r>
    </w:p>
    <w:p w14:paraId="11382A6F" w14:textId="77777777" w:rsidR="00574A0E" w:rsidRDefault="00574A0E" w:rsidP="00BD1EEB">
      <w:pPr>
        <w:pStyle w:val="Heading3"/>
      </w:pPr>
      <w:bookmarkStart w:id="25" w:name="_Toc97630762"/>
    </w:p>
    <w:p w14:paraId="010BAB6D" w14:textId="20D2B619" w:rsidR="00FD604C" w:rsidRPr="001C6B30" w:rsidRDefault="00B858C5" w:rsidP="00BD1EEB">
      <w:pPr>
        <w:pStyle w:val="Heading3"/>
      </w:pPr>
      <w:bookmarkStart w:id="26" w:name="_Toc203731651"/>
      <w:r>
        <w:t xml:space="preserve">Subject </w:t>
      </w:r>
      <w:r w:rsidR="00937907">
        <w:t>external examiner</w:t>
      </w:r>
      <w:r>
        <w:t xml:space="preserve"> – appointment criteria</w:t>
      </w:r>
      <w:bookmarkEnd w:id="25"/>
      <w:bookmarkEnd w:id="26"/>
      <w:r>
        <w:t xml:space="preserve"> </w:t>
      </w:r>
    </w:p>
    <w:p w14:paraId="205E92BA" w14:textId="2BB6BD0D" w:rsidR="00574A0E" w:rsidRDefault="00AF4C39" w:rsidP="00B56CAB">
      <w:pPr>
        <w:pStyle w:val="ListParagraph"/>
        <w:numPr>
          <w:ilvl w:val="0"/>
          <w:numId w:val="11"/>
        </w:numPr>
        <w:spacing w:before="0" w:line="240" w:lineRule="auto"/>
      </w:pPr>
      <w:r w:rsidRPr="00AF4C39">
        <w:t xml:space="preserve">The University will appoint </w:t>
      </w:r>
      <w:r>
        <w:t xml:space="preserve">subject </w:t>
      </w:r>
      <w:r w:rsidRPr="00AF4C39">
        <w:t>external examiners who can show appropriate evidence of the following:</w:t>
      </w:r>
    </w:p>
    <w:p w14:paraId="2A327551" w14:textId="7ADD6431" w:rsidR="00574A0E" w:rsidRDefault="00AF4C39" w:rsidP="00B56CAB">
      <w:pPr>
        <w:pStyle w:val="ListParagraph"/>
        <w:numPr>
          <w:ilvl w:val="0"/>
          <w:numId w:val="26"/>
        </w:numPr>
        <w:spacing w:before="0" w:line="240" w:lineRule="auto"/>
        <w:ind w:left="1080"/>
      </w:pPr>
      <w:r w:rsidRPr="00AF4C39">
        <w:t xml:space="preserve">relevant academic and/or professional qualifications to at least the level of the qualification being externally examined, and/or extensive practitioner experience where </w:t>
      </w:r>
      <w:r w:rsidR="004267E9" w:rsidRPr="00AF4C39">
        <w:t>appropriate</w:t>
      </w:r>
      <w:r w:rsidR="004267E9">
        <w:t>.</w:t>
      </w:r>
    </w:p>
    <w:p w14:paraId="6075A798" w14:textId="77AACBAB" w:rsidR="00574A0E" w:rsidRDefault="00AF4C39" w:rsidP="00B56CAB">
      <w:pPr>
        <w:pStyle w:val="ListParagraph"/>
        <w:numPr>
          <w:ilvl w:val="0"/>
          <w:numId w:val="26"/>
        </w:numPr>
        <w:spacing w:before="0" w:line="240" w:lineRule="auto"/>
        <w:ind w:left="1080"/>
      </w:pPr>
      <w:r w:rsidRPr="00AF4C39">
        <w:t xml:space="preserve">knowledge and understanding of UK sector agreed reference points for the maintenance of academic standards and assurance and enhancement of </w:t>
      </w:r>
      <w:proofErr w:type="gramStart"/>
      <w:r w:rsidRPr="00AF4C39">
        <w:t>quality;</w:t>
      </w:r>
      <w:proofErr w:type="gramEnd"/>
    </w:p>
    <w:p w14:paraId="4CCADC16" w14:textId="15DCCEC2" w:rsidR="00631B5C" w:rsidRDefault="168178A2" w:rsidP="00574A0E">
      <w:pPr>
        <w:pStyle w:val="ListParagraph"/>
        <w:numPr>
          <w:ilvl w:val="0"/>
          <w:numId w:val="26"/>
        </w:numPr>
        <w:spacing w:before="0" w:line="240" w:lineRule="auto"/>
        <w:ind w:left="1080"/>
      </w:pPr>
      <w:r>
        <w:t xml:space="preserve">competence and experience in the </w:t>
      </w:r>
      <w:r w:rsidR="2F311E85">
        <w:t>subject areas</w:t>
      </w:r>
      <w:r>
        <w:t xml:space="preserve"> covered by the </w:t>
      </w:r>
      <w:r>
        <w:lastRenderedPageBreak/>
        <w:t>programme of study. This may be indicated by:</w:t>
      </w:r>
    </w:p>
    <w:p w14:paraId="0BCE37BD" w14:textId="3EAE8087" w:rsidR="00AF4C39" w:rsidRPr="00AF4C39" w:rsidRDefault="00AF4C39" w:rsidP="00574A0E">
      <w:pPr>
        <w:pStyle w:val="ListParagraph"/>
        <w:numPr>
          <w:ilvl w:val="0"/>
          <w:numId w:val="27"/>
        </w:numPr>
        <w:spacing w:before="0" w:line="240" w:lineRule="auto"/>
      </w:pPr>
      <w:r w:rsidRPr="00AF4C39">
        <w:t xml:space="preserve">the present (or last, if retired) post and place of </w:t>
      </w:r>
      <w:proofErr w:type="gramStart"/>
      <w:r w:rsidRPr="00AF4C39">
        <w:t>work</w:t>
      </w:r>
      <w:r w:rsidR="00E84516">
        <w:t>;</w:t>
      </w:r>
      <w:proofErr w:type="gramEnd"/>
    </w:p>
    <w:p w14:paraId="013D00B1" w14:textId="5C7114A6" w:rsidR="00AF4C39" w:rsidRPr="00AF4C39" w:rsidRDefault="00AF4C39" w:rsidP="00574A0E">
      <w:pPr>
        <w:pStyle w:val="ListParagraph"/>
        <w:numPr>
          <w:ilvl w:val="0"/>
          <w:numId w:val="27"/>
        </w:numPr>
        <w:spacing w:before="0" w:line="240" w:lineRule="auto"/>
      </w:pPr>
      <w:r w:rsidRPr="00AF4C39">
        <w:t>the range and scope of experience across higher education/</w:t>
      </w:r>
      <w:r w:rsidR="0026689F">
        <w:t xml:space="preserve"> </w:t>
      </w:r>
      <w:proofErr w:type="gramStart"/>
      <w:r w:rsidRPr="00AF4C39">
        <w:t>professions</w:t>
      </w:r>
      <w:r w:rsidR="00E84516">
        <w:t>;</w:t>
      </w:r>
      <w:proofErr w:type="gramEnd"/>
    </w:p>
    <w:p w14:paraId="3B7ED16D" w14:textId="1028C983" w:rsidR="00574A0E" w:rsidRDefault="00AF4C39" w:rsidP="00B56CAB">
      <w:pPr>
        <w:pStyle w:val="ListParagraph"/>
        <w:numPr>
          <w:ilvl w:val="0"/>
          <w:numId w:val="27"/>
        </w:numPr>
        <w:spacing w:before="0" w:line="240" w:lineRule="auto"/>
      </w:pPr>
      <w:r w:rsidRPr="00AF4C39">
        <w:t>current and recent active involvement in research/</w:t>
      </w:r>
      <w:r w:rsidR="0026689F">
        <w:t xml:space="preserve"> </w:t>
      </w:r>
      <w:r w:rsidRPr="00AF4C39">
        <w:t>scholarly/</w:t>
      </w:r>
      <w:r w:rsidR="0026689F">
        <w:t xml:space="preserve"> </w:t>
      </w:r>
      <w:r w:rsidRPr="00AF4C39">
        <w:t xml:space="preserve">professional activities in the </w:t>
      </w:r>
      <w:r w:rsidR="00094995">
        <w:t xml:space="preserve">subject area </w:t>
      </w:r>
      <w:proofErr w:type="gramStart"/>
      <w:r w:rsidRPr="00AF4C39">
        <w:t>concerned</w:t>
      </w:r>
      <w:r w:rsidR="00E84516">
        <w:t>;</w:t>
      </w:r>
      <w:proofErr w:type="gramEnd"/>
    </w:p>
    <w:p w14:paraId="0D99BCFF" w14:textId="1A0D0991" w:rsidR="00574A0E" w:rsidRDefault="00AF4C39" w:rsidP="00B56CAB">
      <w:pPr>
        <w:pStyle w:val="ListParagraph"/>
        <w:numPr>
          <w:ilvl w:val="0"/>
          <w:numId w:val="26"/>
        </w:numPr>
        <w:spacing w:before="0" w:line="240" w:lineRule="auto"/>
        <w:ind w:left="1080"/>
      </w:pPr>
      <w:r w:rsidRPr="00AF4C39">
        <w:t xml:space="preserve">experience and knowledge of UK Higher Education (teaching and assessing on UK HE awards). Familiarity with the standard to be expected of students to achieve the award that is to be assessed will be acceptable in the case of nominations from practice/industry, where the nominee will be working with an experienced academic external </w:t>
      </w:r>
      <w:proofErr w:type="gramStart"/>
      <w:r w:rsidRPr="00AF4C39">
        <w:t>examiner</w:t>
      </w:r>
      <w:r w:rsidR="00F47175">
        <w:t>;</w:t>
      </w:r>
      <w:proofErr w:type="gramEnd"/>
    </w:p>
    <w:p w14:paraId="7B93764D" w14:textId="1707B7B4" w:rsidR="00574A0E" w:rsidRDefault="002B4264" w:rsidP="00B56CAB">
      <w:pPr>
        <w:pStyle w:val="ListParagraph"/>
        <w:numPr>
          <w:ilvl w:val="0"/>
          <w:numId w:val="26"/>
        </w:numPr>
        <w:spacing w:before="0" w:line="240" w:lineRule="auto"/>
        <w:ind w:left="1080"/>
      </w:pPr>
      <w:r w:rsidRPr="001A045D">
        <w:t xml:space="preserve">experience of </w:t>
      </w:r>
      <w:r w:rsidR="00F31C8A" w:rsidRPr="001A045D">
        <w:t>teaching and assessing on integrated higher and degree apprenticeship provision (if allocated to modules delivered on an integ</w:t>
      </w:r>
      <w:r w:rsidR="005C6CCC" w:rsidRPr="001A045D">
        <w:t>rated higher and degree apprenticeship).</w:t>
      </w:r>
    </w:p>
    <w:p w14:paraId="04A1CC12" w14:textId="7A15BB0F" w:rsidR="00574A0E" w:rsidRDefault="00AF4C39" w:rsidP="00B56CAB">
      <w:pPr>
        <w:pStyle w:val="ListParagraph"/>
        <w:numPr>
          <w:ilvl w:val="0"/>
          <w:numId w:val="26"/>
        </w:numPr>
        <w:spacing w:before="0" w:line="240" w:lineRule="auto"/>
        <w:ind w:left="1080"/>
      </w:pPr>
      <w:r w:rsidRPr="00AF4C39">
        <w:t>recent UK HEI external examining or comparable related experience to indicate competence in assessing students in the subject area</w:t>
      </w:r>
      <w:r w:rsidR="00030028">
        <w:t xml:space="preserve"> (</w:t>
      </w:r>
      <w:r w:rsidR="00561D38">
        <w:t>external examiners from practice/ industry without this experience must work with an experienced academic external examiner</w:t>
      </w:r>
      <w:proofErr w:type="gramStart"/>
      <w:r w:rsidR="00561D38">
        <w:t>)</w:t>
      </w:r>
      <w:r w:rsidRPr="00AF4C39">
        <w:t>;</w:t>
      </w:r>
      <w:proofErr w:type="gramEnd"/>
    </w:p>
    <w:p w14:paraId="175651CD" w14:textId="20030052" w:rsidR="00B56CAB" w:rsidRDefault="00AF4C39" w:rsidP="00B56CAB">
      <w:pPr>
        <w:pStyle w:val="ListParagraph"/>
        <w:numPr>
          <w:ilvl w:val="0"/>
          <w:numId w:val="26"/>
        </w:numPr>
        <w:spacing w:before="0" w:line="240" w:lineRule="auto"/>
        <w:ind w:left="1080"/>
      </w:pPr>
      <w:r w:rsidRPr="00AF4C39">
        <w:t>meeting the criteria set by the professional, statutory and regulatory body (PSRB) where applicable</w:t>
      </w:r>
      <w:r w:rsidR="00D724E7">
        <w:t xml:space="preserve"> </w:t>
      </w:r>
      <w:r w:rsidR="004267E9">
        <w:t>e.g.,</w:t>
      </w:r>
      <w:r w:rsidR="00D724E7">
        <w:t xml:space="preserve"> where a PSRB stipulates that </w:t>
      </w:r>
      <w:r w:rsidR="007D4038">
        <w:t>an</w:t>
      </w:r>
      <w:r w:rsidR="00937F62">
        <w:t xml:space="preserve"> external examiner</w:t>
      </w:r>
      <w:r w:rsidR="007D4038">
        <w:t xml:space="preserve"> on the course</w:t>
      </w:r>
      <w:r w:rsidR="00937F62">
        <w:t xml:space="preserve"> must be a member of the accrediting </w:t>
      </w:r>
      <w:proofErr w:type="gramStart"/>
      <w:r w:rsidR="00937F62">
        <w:t>body</w:t>
      </w:r>
      <w:r w:rsidRPr="00AF4C39">
        <w:t>;</w:t>
      </w:r>
      <w:proofErr w:type="gramEnd"/>
    </w:p>
    <w:p w14:paraId="6B56E6D0" w14:textId="01F6777D" w:rsidR="00B56CAB" w:rsidRDefault="00AF4C39" w:rsidP="00B56CAB">
      <w:pPr>
        <w:pStyle w:val="ListParagraph"/>
        <w:numPr>
          <w:ilvl w:val="0"/>
          <w:numId w:val="26"/>
        </w:numPr>
        <w:spacing w:before="0" w:line="240" w:lineRule="auto"/>
        <w:ind w:left="1080"/>
      </w:pPr>
      <w:r w:rsidRPr="00AF4C39">
        <w:t xml:space="preserve">fluency in English </w:t>
      </w:r>
      <w:proofErr w:type="gramStart"/>
      <w:r w:rsidRPr="00AF4C39">
        <w:t>and also</w:t>
      </w:r>
      <w:proofErr w:type="gramEnd"/>
      <w:r w:rsidRPr="00AF4C39">
        <w:t xml:space="preserve"> (where applicable) in the language of tuition and assessment.</w:t>
      </w:r>
      <w:r>
        <w:t xml:space="preserve"> </w:t>
      </w:r>
      <w:r w:rsidRPr="00AF4C39">
        <w:t xml:space="preserve">Where an examiner is required to speak a foreign language, this must be stated </w:t>
      </w:r>
      <w:r w:rsidR="00505F11" w:rsidRPr="00AF4C39">
        <w:t>in</w:t>
      </w:r>
      <w:r w:rsidR="00505F11">
        <w:t xml:space="preserve"> the nomination </w:t>
      </w:r>
      <w:proofErr w:type="gramStart"/>
      <w:r w:rsidR="00505F11">
        <w:t>form</w:t>
      </w:r>
      <w:r w:rsidRPr="00AF4C39">
        <w:t>;</w:t>
      </w:r>
      <w:proofErr w:type="gramEnd"/>
    </w:p>
    <w:p w14:paraId="0EBDA744" w14:textId="2E7AEDEB" w:rsidR="00B56CAB" w:rsidRDefault="00AF4C39" w:rsidP="00B56CAB">
      <w:pPr>
        <w:pStyle w:val="ListParagraph"/>
        <w:numPr>
          <w:ilvl w:val="0"/>
          <w:numId w:val="26"/>
        </w:numPr>
        <w:spacing w:before="0" w:line="240" w:lineRule="auto"/>
        <w:ind w:left="1080"/>
      </w:pPr>
      <w:r w:rsidRPr="00AF4C39">
        <w:t>eligibility to work in the UK. All nominees will be required to provide original UKVI</w:t>
      </w:r>
      <w:r>
        <w:t xml:space="preserve"> </w:t>
      </w:r>
      <w:r w:rsidRPr="00AF4C39">
        <w:t xml:space="preserve">recognised documentation of their status, prior to </w:t>
      </w:r>
      <w:proofErr w:type="gramStart"/>
      <w:r w:rsidRPr="00AF4C39">
        <w:t>appointment</w:t>
      </w:r>
      <w:r w:rsidR="00DC78B2">
        <w:t>;</w:t>
      </w:r>
      <w:proofErr w:type="gramEnd"/>
    </w:p>
    <w:p w14:paraId="70280455" w14:textId="6872E522" w:rsidR="00CA2EB5" w:rsidRDefault="007F19EB" w:rsidP="00B56CAB">
      <w:pPr>
        <w:pStyle w:val="ListParagraph"/>
        <w:numPr>
          <w:ilvl w:val="0"/>
          <w:numId w:val="26"/>
        </w:numPr>
        <w:spacing w:before="0" w:line="240" w:lineRule="auto"/>
        <w:ind w:left="1080"/>
      </w:pPr>
      <w:r>
        <w:t>UK residency</w:t>
      </w:r>
      <w:r w:rsidR="00CA2EB5">
        <w:t xml:space="preserve">. </w:t>
      </w:r>
      <w:r w:rsidR="006504DE">
        <w:t>The University</w:t>
      </w:r>
      <w:r w:rsidR="006504DE" w:rsidRPr="006504DE">
        <w:t xml:space="preserve"> cannot permit staff to work from overseas due to potential legal </w:t>
      </w:r>
      <w:proofErr w:type="gramStart"/>
      <w:r w:rsidR="006504DE" w:rsidRPr="006504DE">
        <w:t>implications</w:t>
      </w:r>
      <w:r w:rsidR="00CA237A">
        <w:t>;</w:t>
      </w:r>
      <w:proofErr w:type="gramEnd"/>
    </w:p>
    <w:p w14:paraId="5C300838" w14:textId="03E539FC" w:rsidR="005C6CCC" w:rsidRPr="001C6B30" w:rsidRDefault="00AF4C39" w:rsidP="00574A0E">
      <w:pPr>
        <w:pStyle w:val="ListParagraph"/>
        <w:numPr>
          <w:ilvl w:val="0"/>
          <w:numId w:val="26"/>
        </w:numPr>
        <w:spacing w:before="0" w:line="240" w:lineRule="auto"/>
        <w:ind w:left="1080"/>
      </w:pPr>
      <w:r w:rsidRPr="00AF4C39">
        <w:t xml:space="preserve">in the case of retired nominees, sufficient evidence of current involvement in the subject area </w:t>
      </w:r>
      <w:r w:rsidR="00BA3F4F" w:rsidRPr="00AF4C39">
        <w:t>e.g.,</w:t>
      </w:r>
      <w:r w:rsidRPr="00AF4C39">
        <w:t xml:space="preserve"> consultancy/</w:t>
      </w:r>
      <w:r w:rsidR="00A66878">
        <w:t xml:space="preserve"> </w:t>
      </w:r>
      <w:r w:rsidRPr="00AF4C39">
        <w:t>visiting lecturer.</w:t>
      </w:r>
    </w:p>
    <w:p w14:paraId="08362BF9" w14:textId="77777777" w:rsidR="00B56CAB" w:rsidRDefault="00B56CAB" w:rsidP="00BD1EEB">
      <w:pPr>
        <w:pStyle w:val="Heading3"/>
      </w:pPr>
      <w:bookmarkStart w:id="27" w:name="_Toc97630763"/>
    </w:p>
    <w:p w14:paraId="4A62D948" w14:textId="60B122ED" w:rsidR="00AF4C39" w:rsidRPr="001C6B30" w:rsidRDefault="00AF4C39" w:rsidP="00BD1EEB">
      <w:pPr>
        <w:pStyle w:val="Heading3"/>
      </w:pPr>
      <w:bookmarkStart w:id="28" w:name="_Toc203731652"/>
      <w:r>
        <w:t>Where a proposed subject external examiner has no UK HEI external examining experience</w:t>
      </w:r>
      <w:bookmarkEnd w:id="27"/>
      <w:bookmarkEnd w:id="28"/>
    </w:p>
    <w:p w14:paraId="0E78B3E1" w14:textId="2C35E7AD" w:rsidR="0071253E" w:rsidRDefault="00AF4C39" w:rsidP="00BD1EEB">
      <w:pPr>
        <w:pStyle w:val="ListParagraph"/>
        <w:numPr>
          <w:ilvl w:val="0"/>
          <w:numId w:val="11"/>
        </w:numPr>
        <w:spacing w:before="0" w:line="240" w:lineRule="auto"/>
      </w:pPr>
      <w:r w:rsidRPr="00AF4C39">
        <w:t>If the proposed examiner has no previous UK HEI external examiner experience at the appropriate level, the application should be supported by either:</w:t>
      </w:r>
    </w:p>
    <w:p w14:paraId="44A6A798" w14:textId="78B953A5" w:rsidR="00FB5EB8" w:rsidRDefault="00AF4C39" w:rsidP="00BD1EEB">
      <w:pPr>
        <w:pStyle w:val="ListParagraph"/>
        <w:numPr>
          <w:ilvl w:val="0"/>
          <w:numId w:val="3"/>
        </w:numPr>
        <w:spacing w:before="0" w:line="240" w:lineRule="auto"/>
      </w:pPr>
      <w:r w:rsidRPr="00AF4C39">
        <w:t>other examin</w:t>
      </w:r>
      <w:r w:rsidR="004421F1">
        <w:t>ing</w:t>
      </w:r>
      <w:r w:rsidRPr="00AF4C39">
        <w:t xml:space="preserve"> experience</w:t>
      </w:r>
      <w:r w:rsidR="004421F1">
        <w:t xml:space="preserve"> (</w:t>
      </w:r>
      <w:r w:rsidR="00BA3F4F">
        <w:t>e.g.,</w:t>
      </w:r>
      <w:r w:rsidR="004421F1">
        <w:t xml:space="preserve"> a PSRB examiner</w:t>
      </w:r>
      <w:proofErr w:type="gramStart"/>
      <w:r w:rsidR="004421F1">
        <w:t>)</w:t>
      </w:r>
      <w:r w:rsidR="007B31FE">
        <w:t>;</w:t>
      </w:r>
      <w:proofErr w:type="gramEnd"/>
    </w:p>
    <w:p w14:paraId="7C5E9C50" w14:textId="749540CC" w:rsidR="00FB5EB8" w:rsidRDefault="00AF4C39" w:rsidP="00BD1EEB">
      <w:pPr>
        <w:pStyle w:val="ListParagraph"/>
        <w:numPr>
          <w:ilvl w:val="0"/>
          <w:numId w:val="3"/>
        </w:numPr>
        <w:spacing w:before="0" w:line="240" w:lineRule="auto"/>
      </w:pPr>
      <w:r w:rsidRPr="00AF4C39">
        <w:t xml:space="preserve">extensive internal examining </w:t>
      </w:r>
      <w:proofErr w:type="gramStart"/>
      <w:r w:rsidRPr="00AF4C39">
        <w:t>experience</w:t>
      </w:r>
      <w:r w:rsidR="007B31FE">
        <w:t>;</w:t>
      </w:r>
      <w:proofErr w:type="gramEnd"/>
    </w:p>
    <w:p w14:paraId="556DC758" w14:textId="38D3F81F" w:rsidR="0071253E" w:rsidRDefault="00AF4C39" w:rsidP="00BD1EEB">
      <w:pPr>
        <w:pStyle w:val="ListParagraph"/>
        <w:numPr>
          <w:ilvl w:val="0"/>
          <w:numId w:val="3"/>
        </w:numPr>
        <w:spacing w:before="0" w:line="240" w:lineRule="auto"/>
      </w:pPr>
      <w:r w:rsidRPr="00AF4C39">
        <w:t xml:space="preserve">other relevant and recent experience likely to support the external examiner </w:t>
      </w:r>
      <w:proofErr w:type="gramStart"/>
      <w:r w:rsidRPr="00AF4C39">
        <w:t>role</w:t>
      </w:r>
      <w:r w:rsidR="007B31FE">
        <w:t>;</w:t>
      </w:r>
      <w:proofErr w:type="gramEnd"/>
    </w:p>
    <w:p w14:paraId="03CD25D4" w14:textId="46F23E1C" w:rsidR="004A3D9F" w:rsidRDefault="0070057E" w:rsidP="00BD1EEB">
      <w:pPr>
        <w:pStyle w:val="ListParagraph"/>
        <w:numPr>
          <w:ilvl w:val="0"/>
          <w:numId w:val="3"/>
        </w:numPr>
        <w:spacing w:before="0" w:line="240" w:lineRule="auto"/>
      </w:pPr>
      <w:r>
        <w:t xml:space="preserve">other </w:t>
      </w:r>
      <w:r w:rsidR="004A3D9F">
        <w:t>clear rationale</w:t>
      </w:r>
      <w:r>
        <w:t xml:space="preserve"> for appointment</w:t>
      </w:r>
      <w:r w:rsidR="004A3D9F">
        <w:t xml:space="preserve"> (</w:t>
      </w:r>
      <w:r w:rsidR="00BA3F4F">
        <w:t>e.g.,</w:t>
      </w:r>
      <w:r w:rsidR="004A3D9F">
        <w:t xml:space="preserve"> practitioner external examiner required due to PSRB requirements</w:t>
      </w:r>
      <w:r w:rsidR="00C43E69">
        <w:t>).</w:t>
      </w:r>
    </w:p>
    <w:p w14:paraId="5F91460C" w14:textId="77777777" w:rsidR="00B56CAB" w:rsidRDefault="00B56CAB" w:rsidP="00B56CAB">
      <w:pPr>
        <w:pStyle w:val="ListParagraph"/>
        <w:spacing w:before="0" w:line="240" w:lineRule="auto"/>
      </w:pPr>
    </w:p>
    <w:p w14:paraId="21ABA47A" w14:textId="4E586C58" w:rsidR="00B56CAB" w:rsidRDefault="00AF4C39" w:rsidP="006663F8">
      <w:pPr>
        <w:pStyle w:val="ListParagraph"/>
        <w:numPr>
          <w:ilvl w:val="0"/>
          <w:numId w:val="11"/>
        </w:numPr>
        <w:spacing w:before="0" w:line="240" w:lineRule="auto"/>
      </w:pPr>
      <w:r w:rsidRPr="00AF4C39">
        <w:t>If approved, the new examiner</w:t>
      </w:r>
      <w:r w:rsidR="00437128">
        <w:t xml:space="preserve"> will be reassured, via the appointment letter, that</w:t>
      </w:r>
      <w:r w:rsidRPr="00AF4C39">
        <w:t xml:space="preserve"> </w:t>
      </w:r>
      <w:r w:rsidR="00437128" w:rsidRPr="00437128">
        <w:t xml:space="preserve">support </w:t>
      </w:r>
      <w:r w:rsidR="0083235F">
        <w:t>will be</w:t>
      </w:r>
      <w:r w:rsidR="00437128" w:rsidRPr="00437128">
        <w:t xml:space="preserve"> available at local level </w:t>
      </w:r>
      <w:r w:rsidR="00750ED7">
        <w:t xml:space="preserve">by </w:t>
      </w:r>
      <w:r w:rsidR="00437128" w:rsidRPr="00437128">
        <w:t xml:space="preserve">the course team and centrally </w:t>
      </w:r>
      <w:r w:rsidR="007B71F5">
        <w:t xml:space="preserve">by </w:t>
      </w:r>
      <w:r w:rsidR="00437128" w:rsidRPr="00437128">
        <w:t xml:space="preserve">the Quality Assurance &amp; Enhancement (QAE) team. </w:t>
      </w:r>
      <w:r w:rsidR="003374F5">
        <w:t xml:space="preserve">New external examiners will be advised to </w:t>
      </w:r>
      <w:r w:rsidR="003374F5" w:rsidRPr="003374F5">
        <w:t xml:space="preserve">reach out to </w:t>
      </w:r>
      <w:r w:rsidR="003374F5">
        <w:t>their</w:t>
      </w:r>
      <w:r w:rsidR="003374F5" w:rsidRPr="003374F5">
        <w:t xml:space="preserve"> key contact in the course team, the Head of Department (as </w:t>
      </w:r>
      <w:r w:rsidR="003374F5">
        <w:t>noted in the appointment letter</w:t>
      </w:r>
      <w:r w:rsidR="003374F5" w:rsidRPr="003374F5">
        <w:t xml:space="preserve">), or QAE team </w:t>
      </w:r>
      <w:r w:rsidR="003374F5">
        <w:t xml:space="preserve">to raise any </w:t>
      </w:r>
      <w:r w:rsidR="003374F5">
        <w:lastRenderedPageBreak/>
        <w:t>queries or concerns they may have.</w:t>
      </w:r>
      <w:r w:rsidRPr="00AF4C39">
        <w:t xml:space="preserve"> </w:t>
      </w:r>
      <w:r w:rsidR="00B2444D">
        <w:t xml:space="preserve">The new examiner will also be required </w:t>
      </w:r>
      <w:r w:rsidR="00B2444D" w:rsidRPr="00B2444D">
        <w:t xml:space="preserve">to attend a </w:t>
      </w:r>
      <w:proofErr w:type="gramStart"/>
      <w:r w:rsidR="00B2444D" w:rsidRPr="00B2444D">
        <w:t>University</w:t>
      </w:r>
      <w:proofErr w:type="gramEnd"/>
      <w:r w:rsidR="003A0E7C">
        <w:t xml:space="preserve"> </w:t>
      </w:r>
      <w:r w:rsidR="00B2444D" w:rsidRPr="00B2444D">
        <w:t xml:space="preserve">level induction event, </w:t>
      </w:r>
      <w:r w:rsidR="00B2444D">
        <w:t>involving</w:t>
      </w:r>
      <w:r w:rsidR="00B2444D" w:rsidRPr="00B2444D">
        <w:t xml:space="preserve"> an introduction to external examining at the University, roles and responsibilities, assessment regulations, reporting and administration</w:t>
      </w:r>
      <w:r w:rsidR="00B2444D">
        <w:t>, and</w:t>
      </w:r>
      <w:r w:rsidR="00B2444D" w:rsidRPr="00B2444D">
        <w:t xml:space="preserve"> a course</w:t>
      </w:r>
      <w:r w:rsidR="003A0E7C">
        <w:t xml:space="preserve"> </w:t>
      </w:r>
      <w:r w:rsidR="00B2444D" w:rsidRPr="00B2444D">
        <w:t xml:space="preserve">level induction where </w:t>
      </w:r>
      <w:r w:rsidR="00B2444D">
        <w:t xml:space="preserve">they </w:t>
      </w:r>
      <w:r w:rsidR="00B2444D" w:rsidRPr="00B2444D">
        <w:t>will meet the course team and agree the schedule of work</w:t>
      </w:r>
      <w:bookmarkStart w:id="29" w:name="_Toc97630764"/>
      <w:r w:rsidR="00B2444D">
        <w:t>.</w:t>
      </w:r>
    </w:p>
    <w:p w14:paraId="366B11C1" w14:textId="77777777" w:rsidR="00B2444D" w:rsidRDefault="00B2444D" w:rsidP="00B2444D">
      <w:pPr>
        <w:pStyle w:val="ListParagraph"/>
        <w:spacing w:before="0" w:line="240" w:lineRule="auto"/>
      </w:pPr>
    </w:p>
    <w:p w14:paraId="20466855" w14:textId="29901C5E" w:rsidR="00AF4C39" w:rsidRPr="0071253E" w:rsidRDefault="00FB5EB8" w:rsidP="00BD1EEB">
      <w:pPr>
        <w:pStyle w:val="Heading3"/>
      </w:pPr>
      <w:bookmarkStart w:id="30" w:name="_Toc203731653"/>
      <w:r>
        <w:t>Composition of a subject external examiner team</w:t>
      </w:r>
      <w:r w:rsidR="00EF6EDD">
        <w:t xml:space="preserve"> where required f</w:t>
      </w:r>
      <w:r w:rsidR="0039584D">
        <w:t xml:space="preserve">or PSRB </w:t>
      </w:r>
      <w:bookmarkEnd w:id="29"/>
      <w:r w:rsidR="00BA3F4F">
        <w:t>requirements.</w:t>
      </w:r>
      <w:bookmarkEnd w:id="30"/>
    </w:p>
    <w:p w14:paraId="53D5FA14" w14:textId="3D315442" w:rsidR="0071253E" w:rsidRPr="00FB5EB8" w:rsidRDefault="00FB5EB8" w:rsidP="00BD1EEB">
      <w:pPr>
        <w:pStyle w:val="ListParagraph"/>
        <w:numPr>
          <w:ilvl w:val="0"/>
          <w:numId w:val="11"/>
        </w:numPr>
        <w:spacing w:before="0" w:line="240" w:lineRule="auto"/>
      </w:pPr>
      <w:r w:rsidRPr="00FB5EB8">
        <w:t xml:space="preserve">There should be an appropriate balance and expertise in the team of </w:t>
      </w:r>
      <w:r>
        <w:t xml:space="preserve">subject </w:t>
      </w:r>
      <w:r w:rsidRPr="00FB5EB8">
        <w:t xml:space="preserve">external examiners to ensure that account is taken of the academic range of the </w:t>
      </w:r>
      <w:r>
        <w:t>course</w:t>
      </w:r>
      <w:r w:rsidRPr="00FB5EB8">
        <w:t xml:space="preserve">/subject area and the need, as appropriate, for professional, </w:t>
      </w:r>
      <w:r w:rsidR="00BA3F4F" w:rsidRPr="00FB5EB8">
        <w:t>industrial,</w:t>
      </w:r>
      <w:r w:rsidRPr="00FB5EB8">
        <w:t xml:space="preserve"> and other contributions.</w:t>
      </w:r>
    </w:p>
    <w:p w14:paraId="12301AAA" w14:textId="77777777" w:rsidR="00B56CAB" w:rsidRDefault="00B56CAB" w:rsidP="00B56CAB">
      <w:pPr>
        <w:pStyle w:val="ListParagraph"/>
        <w:spacing w:before="0" w:line="240" w:lineRule="auto"/>
      </w:pPr>
    </w:p>
    <w:p w14:paraId="2AE07F18" w14:textId="5CD7EEB9" w:rsidR="0071253E" w:rsidRPr="00FB5EB8" w:rsidRDefault="00FB5EB8" w:rsidP="00BD1EEB">
      <w:pPr>
        <w:pStyle w:val="ListParagraph"/>
        <w:numPr>
          <w:ilvl w:val="0"/>
          <w:numId w:val="11"/>
        </w:numPr>
        <w:spacing w:before="0" w:line="240" w:lineRule="auto"/>
      </w:pPr>
      <w:r w:rsidRPr="00FB5EB8">
        <w:t xml:space="preserve">The appropriate balance of academic and practitioner </w:t>
      </w:r>
      <w:r>
        <w:t xml:space="preserve">subject </w:t>
      </w:r>
      <w:r w:rsidRPr="00FB5EB8">
        <w:t xml:space="preserve">external examiners will be considered on an individual basis for each </w:t>
      </w:r>
      <w:r w:rsidR="00EE056D">
        <w:t>subject area</w:t>
      </w:r>
      <w:r w:rsidRPr="00FB5EB8">
        <w:t>.</w:t>
      </w:r>
    </w:p>
    <w:p w14:paraId="54CF0480" w14:textId="77777777" w:rsidR="00B56CAB" w:rsidRDefault="00B56CAB" w:rsidP="00B56CAB">
      <w:pPr>
        <w:pStyle w:val="ListParagraph"/>
        <w:spacing w:before="0" w:line="240" w:lineRule="auto"/>
      </w:pPr>
    </w:p>
    <w:p w14:paraId="552A13EA" w14:textId="5A7BA753" w:rsidR="0071253E" w:rsidRPr="00FB5EB8" w:rsidRDefault="00FB5EB8" w:rsidP="00BD1EEB">
      <w:pPr>
        <w:pStyle w:val="ListParagraph"/>
        <w:numPr>
          <w:ilvl w:val="0"/>
          <w:numId w:val="11"/>
        </w:numPr>
        <w:spacing w:before="0" w:line="240" w:lineRule="auto"/>
      </w:pPr>
      <w:r w:rsidRPr="00FB5EB8">
        <w:t xml:space="preserve">The division of responsibilities within an external examiner team must be clearly communicated and agreed at the time of appointment and thereafter on an annual basis, by the </w:t>
      </w:r>
      <w:r>
        <w:t>course</w:t>
      </w:r>
      <w:r w:rsidRPr="00FB5EB8">
        <w:t xml:space="preserve"> leader.</w:t>
      </w:r>
    </w:p>
    <w:p w14:paraId="21A40DAC" w14:textId="77777777" w:rsidR="00B56CAB" w:rsidRDefault="00B56CAB" w:rsidP="00B56CAB">
      <w:pPr>
        <w:pStyle w:val="ListParagraph"/>
        <w:spacing w:before="0" w:line="240" w:lineRule="auto"/>
      </w:pPr>
    </w:p>
    <w:p w14:paraId="65DBDA87" w14:textId="24EC8B2D" w:rsidR="00FB5EB8" w:rsidRPr="00FB5EB8" w:rsidRDefault="00FB5EB8" w:rsidP="00BD1EEB">
      <w:pPr>
        <w:pStyle w:val="ListParagraph"/>
        <w:numPr>
          <w:ilvl w:val="0"/>
          <w:numId w:val="11"/>
        </w:numPr>
        <w:spacing w:before="0" w:line="240" w:lineRule="auto"/>
      </w:pPr>
      <w:r w:rsidRPr="00FB5EB8">
        <w:t>The main considerations should be:</w:t>
      </w:r>
    </w:p>
    <w:p w14:paraId="18751607" w14:textId="25FD934B" w:rsidR="0071253E" w:rsidRPr="00FB5EB8" w:rsidRDefault="00FB5EB8" w:rsidP="00BD1EEB">
      <w:pPr>
        <w:pStyle w:val="ListParagraph"/>
        <w:numPr>
          <w:ilvl w:val="0"/>
          <w:numId w:val="4"/>
        </w:numPr>
        <w:spacing w:before="0" w:line="240" w:lineRule="auto"/>
      </w:pPr>
      <w:r w:rsidRPr="00FB5EB8">
        <w:t xml:space="preserve">the external examiner team should be able to audit the standards of achievement of students for all of the learning outcomes specified for their </w:t>
      </w:r>
      <w:r w:rsidR="00EF4AB7">
        <w:t xml:space="preserve">allocated </w:t>
      </w:r>
      <w:proofErr w:type="gramStart"/>
      <w:r w:rsidR="00EF4AB7">
        <w:t>modules</w:t>
      </w:r>
      <w:r w:rsidRPr="00FB5EB8">
        <w:t>;</w:t>
      </w:r>
      <w:proofErr w:type="gramEnd"/>
    </w:p>
    <w:p w14:paraId="6048E529" w14:textId="571CBDF3" w:rsidR="0071253E" w:rsidRPr="00FB5EB8" w:rsidRDefault="00FB5EB8" w:rsidP="00BD1EEB">
      <w:pPr>
        <w:pStyle w:val="ListParagraph"/>
        <w:numPr>
          <w:ilvl w:val="0"/>
          <w:numId w:val="4"/>
        </w:numPr>
        <w:spacing w:before="0" w:line="240" w:lineRule="auto"/>
      </w:pPr>
      <w:r w:rsidRPr="00FB5EB8">
        <w:t>practitioner external examiners should have the experience to contribute to academic judgements on professional practice and related matters and on academic standards (</w:t>
      </w:r>
      <w:proofErr w:type="spellStart"/>
      <w:r w:rsidRPr="00FB5EB8">
        <w:t>eg.</w:t>
      </w:r>
      <w:proofErr w:type="spellEnd"/>
      <w:r w:rsidRPr="00FB5EB8">
        <w:t xml:space="preserve"> from knowledge of the abilities in practice of award holders from similar programmes) and be able to comment on the fairness of assessment schemes and regulations and their implementation. Normally a practitioner external examiner with no prior experience of external examining or working as an academic in an HEI will be appointed </w:t>
      </w:r>
      <w:r w:rsidR="00611E92">
        <w:t xml:space="preserve">alongside an academic </w:t>
      </w:r>
      <w:r w:rsidR="00ED7915">
        <w:t xml:space="preserve">external </w:t>
      </w:r>
      <w:r w:rsidR="00611E92">
        <w:t xml:space="preserve">examiner to </w:t>
      </w:r>
      <w:r w:rsidR="00ED7915">
        <w:t xml:space="preserve">ensure complementary </w:t>
      </w:r>
      <w:proofErr w:type="gramStart"/>
      <w:r w:rsidR="00ED7915">
        <w:t>expertise</w:t>
      </w:r>
      <w:r w:rsidRPr="00FB5EB8">
        <w:t>;</w:t>
      </w:r>
      <w:proofErr w:type="gramEnd"/>
    </w:p>
    <w:p w14:paraId="122B192E" w14:textId="0C087506" w:rsidR="00AF4C39" w:rsidRDefault="00FB5EB8" w:rsidP="00BD1EEB">
      <w:pPr>
        <w:pStyle w:val="ListParagraph"/>
        <w:numPr>
          <w:ilvl w:val="0"/>
          <w:numId w:val="4"/>
        </w:numPr>
        <w:spacing w:before="0" w:line="240" w:lineRule="auto"/>
      </w:pPr>
      <w:r w:rsidRPr="00FB5EB8">
        <w:t xml:space="preserve">the external examiner team should have the breadth of experience to be able to audit </w:t>
      </w:r>
      <w:r w:rsidR="00E302B2">
        <w:t>internal moderation</w:t>
      </w:r>
      <w:r w:rsidRPr="00FB5EB8">
        <w:t xml:space="preserve"> processes as well as standards.</w:t>
      </w:r>
    </w:p>
    <w:p w14:paraId="6CAAA972" w14:textId="77777777" w:rsidR="00B56CAB" w:rsidRDefault="00B56CAB" w:rsidP="00BD1EEB">
      <w:pPr>
        <w:pStyle w:val="Heading3"/>
      </w:pPr>
      <w:bookmarkStart w:id="31" w:name="_Toc97630765"/>
    </w:p>
    <w:p w14:paraId="3E7F17E0" w14:textId="3E9F9FA4" w:rsidR="009B290D" w:rsidRPr="00CD1501" w:rsidRDefault="009B290D" w:rsidP="00BD1EEB">
      <w:pPr>
        <w:pStyle w:val="Heading3"/>
      </w:pPr>
      <w:bookmarkStart w:id="32" w:name="_Toc203731654"/>
      <w:r>
        <w:t>Appointing subject external examiners to franchised</w:t>
      </w:r>
      <w:r w:rsidR="00D0738F">
        <w:t xml:space="preserve"> and validated</w:t>
      </w:r>
      <w:r>
        <w:t xml:space="preserve"> provision</w:t>
      </w:r>
      <w:bookmarkEnd w:id="31"/>
      <w:bookmarkEnd w:id="32"/>
      <w:r>
        <w:t xml:space="preserve"> </w:t>
      </w:r>
    </w:p>
    <w:p w14:paraId="5316A06A" w14:textId="1F48B6CF" w:rsidR="00937907" w:rsidRPr="00290CAD" w:rsidRDefault="009B290D" w:rsidP="00BD1EEB">
      <w:pPr>
        <w:pStyle w:val="ListParagraph"/>
        <w:numPr>
          <w:ilvl w:val="0"/>
          <w:numId w:val="11"/>
        </w:numPr>
        <w:spacing w:before="0" w:line="240" w:lineRule="auto"/>
        <w:rPr>
          <w:rFonts w:eastAsia="Times New Roman"/>
        </w:rPr>
      </w:pPr>
      <w:r w:rsidRPr="009B290D">
        <w:t xml:space="preserve">For franchised provision, the external examiner(s) will usually be the same as for the in-house provision and/or the other provision in the network, to enable comparability of standards across the provision. For validated provision, a dedicated external examiner </w:t>
      </w:r>
      <w:r w:rsidR="003C7DCF">
        <w:t>should</w:t>
      </w:r>
      <w:r w:rsidRPr="009B290D">
        <w:t xml:space="preserve"> be appointed. The University Liaison Officer should liaise with the Partner Liaison Officer when proposing external examiner nominations.</w:t>
      </w:r>
    </w:p>
    <w:p w14:paraId="50D4B519" w14:textId="77777777" w:rsidR="00B56CAB" w:rsidRDefault="00B56CAB" w:rsidP="00BD1EEB">
      <w:pPr>
        <w:pStyle w:val="Heading3"/>
      </w:pPr>
      <w:bookmarkStart w:id="33" w:name="_Toc97630766"/>
    </w:p>
    <w:p w14:paraId="232086F7" w14:textId="256940D0" w:rsidR="00441B69" w:rsidRPr="00CD1501" w:rsidRDefault="00B858C5" w:rsidP="00BD1EEB">
      <w:pPr>
        <w:pStyle w:val="Heading3"/>
      </w:pPr>
      <w:bookmarkStart w:id="34" w:name="_Toc203731655"/>
      <w:r>
        <w:t xml:space="preserve">Procedure for the appointment of subject </w:t>
      </w:r>
      <w:r w:rsidR="00937907">
        <w:t>external examiners</w:t>
      </w:r>
      <w:bookmarkEnd w:id="33"/>
      <w:bookmarkEnd w:id="34"/>
      <w:r>
        <w:t xml:space="preserve"> </w:t>
      </w:r>
    </w:p>
    <w:p w14:paraId="7933EEE8" w14:textId="6B7A9546" w:rsidR="00CD1501" w:rsidRPr="00CD1501" w:rsidRDefault="00F81163" w:rsidP="00BD1EEB">
      <w:pPr>
        <w:pStyle w:val="ListParagraph"/>
        <w:numPr>
          <w:ilvl w:val="0"/>
          <w:numId w:val="11"/>
        </w:numPr>
        <w:spacing w:before="0" w:line="240" w:lineRule="auto"/>
      </w:pPr>
      <w:r w:rsidRPr="00F81163">
        <w:t>The Head of School</w:t>
      </w:r>
      <w:r w:rsidR="006F6182">
        <w:t xml:space="preserve"> (or nominee)</w:t>
      </w:r>
      <w:r>
        <w:t xml:space="preserve"> is responsible for nominating new subject external examiners and submitting </w:t>
      </w:r>
      <w:r w:rsidR="005245FC">
        <w:t>the proposal</w:t>
      </w:r>
      <w:r>
        <w:t xml:space="preserve"> for approval. QAE</w:t>
      </w:r>
      <w:r w:rsidRPr="00C20A58">
        <w:t xml:space="preserve"> is resp</w:t>
      </w:r>
      <w:r>
        <w:t xml:space="preserve">onsible for </w:t>
      </w:r>
      <w:r w:rsidR="00D64D71">
        <w:t>the appointment process and the</w:t>
      </w:r>
      <w:r>
        <w:t xml:space="preserve"> final </w:t>
      </w:r>
      <w:r w:rsidRPr="00C20A58">
        <w:t>consideration</w:t>
      </w:r>
      <w:r>
        <w:t>/approval</w:t>
      </w:r>
      <w:r w:rsidRPr="00C20A58">
        <w:t xml:space="preserve"> </w:t>
      </w:r>
      <w:r w:rsidRPr="00C20A58">
        <w:lastRenderedPageBreak/>
        <w:t xml:space="preserve">of </w:t>
      </w:r>
      <w:r>
        <w:t xml:space="preserve">subject </w:t>
      </w:r>
      <w:r w:rsidRPr="00C20A58">
        <w:t xml:space="preserve">external examiner nominations.  </w:t>
      </w:r>
    </w:p>
    <w:p w14:paraId="729B6234" w14:textId="77777777" w:rsidR="00B56CAB" w:rsidRDefault="00B56CAB" w:rsidP="00B56CAB">
      <w:pPr>
        <w:pStyle w:val="ListParagraph"/>
        <w:spacing w:before="0" w:line="240" w:lineRule="auto"/>
      </w:pPr>
    </w:p>
    <w:p w14:paraId="22055BB7" w14:textId="02948C7C" w:rsidR="00CD1501" w:rsidRPr="00CD1501" w:rsidRDefault="00D64D71" w:rsidP="00BD1EEB">
      <w:pPr>
        <w:pStyle w:val="ListParagraph"/>
        <w:numPr>
          <w:ilvl w:val="0"/>
          <w:numId w:val="11"/>
        </w:numPr>
        <w:spacing w:before="0" w:line="240" w:lineRule="auto"/>
      </w:pPr>
      <w:r>
        <w:t>QAE</w:t>
      </w:r>
      <w:r w:rsidRPr="0059721B">
        <w:t xml:space="preserve"> will notify faculties of</w:t>
      </w:r>
      <w:r w:rsidR="00143D7E">
        <w:t xml:space="preserve"> outgoing</w:t>
      </w:r>
      <w:r w:rsidRPr="0059721B">
        <w:t xml:space="preserve"> </w:t>
      </w:r>
      <w:r>
        <w:t xml:space="preserve">subject </w:t>
      </w:r>
      <w:r w:rsidRPr="0059721B">
        <w:t>external examiner</w:t>
      </w:r>
      <w:r w:rsidR="00143D7E">
        <w:t>s that need</w:t>
      </w:r>
      <w:r w:rsidRPr="0059721B">
        <w:t xml:space="preserve"> to</w:t>
      </w:r>
      <w:r w:rsidR="00143D7E">
        <w:t xml:space="preserve"> be</w:t>
      </w:r>
      <w:r w:rsidRPr="0059721B">
        <w:t xml:space="preserve"> replace</w:t>
      </w:r>
      <w:r w:rsidR="00143D7E">
        <w:t xml:space="preserve">d. For new courses, </w:t>
      </w:r>
      <w:r w:rsidR="00573E14">
        <w:t>a</w:t>
      </w:r>
      <w:r w:rsidR="00573E14" w:rsidRPr="00573E14">
        <w:t xml:space="preserve"> standard condition of each validation will be the nomination of external examiner(s)</w:t>
      </w:r>
      <w:r w:rsidR="00573E14">
        <w:t>.</w:t>
      </w:r>
    </w:p>
    <w:p w14:paraId="5A08B0CE" w14:textId="77777777" w:rsidR="00B56CAB" w:rsidRDefault="00B56CAB" w:rsidP="00B56CAB">
      <w:pPr>
        <w:pStyle w:val="ListParagraph"/>
        <w:spacing w:before="0" w:line="240" w:lineRule="auto"/>
      </w:pPr>
    </w:p>
    <w:p w14:paraId="7DC2132A" w14:textId="4E136B50" w:rsidR="00CD1501" w:rsidRDefault="00CD617E" w:rsidP="00BD1EEB">
      <w:pPr>
        <w:pStyle w:val="ListParagraph"/>
        <w:numPr>
          <w:ilvl w:val="0"/>
          <w:numId w:val="11"/>
        </w:numPr>
        <w:spacing w:before="0" w:line="240" w:lineRule="auto"/>
      </w:pPr>
      <w:r>
        <w:t>All new external examiner nominations</w:t>
      </w:r>
      <w:r w:rsidR="00DE706E">
        <w:t xml:space="preserve"> for the next academic year</w:t>
      </w:r>
      <w:r>
        <w:t xml:space="preserve"> must be submitted to QAE by the end of March in order that all appointments are confirmed by the end of July. </w:t>
      </w:r>
    </w:p>
    <w:p w14:paraId="649BC9AE" w14:textId="77777777" w:rsidR="00B56CAB" w:rsidRDefault="00B56CAB" w:rsidP="00B56CAB">
      <w:pPr>
        <w:pStyle w:val="ListParagraph"/>
        <w:spacing w:before="0" w:line="240" w:lineRule="auto"/>
      </w:pPr>
    </w:p>
    <w:p w14:paraId="7D607094" w14:textId="3B7E1350" w:rsidR="00CD1501" w:rsidRDefault="006B3D5B" w:rsidP="00BD1EEB">
      <w:pPr>
        <w:pStyle w:val="ListParagraph"/>
        <w:numPr>
          <w:ilvl w:val="0"/>
          <w:numId w:val="11"/>
        </w:numPr>
        <w:spacing w:before="0" w:line="240" w:lineRule="auto"/>
      </w:pPr>
      <w:r>
        <w:t>Subject e</w:t>
      </w:r>
      <w:r w:rsidR="00937907" w:rsidRPr="006B3D5B">
        <w:t>xternal examiner</w:t>
      </w:r>
      <w:r>
        <w:t xml:space="preserve"> nominations</w:t>
      </w:r>
      <w:r w:rsidR="00937907" w:rsidRPr="006B3D5B">
        <w:t xml:space="preserve"> (or </w:t>
      </w:r>
      <w:r>
        <w:t xml:space="preserve">proposals for </w:t>
      </w:r>
      <w:r w:rsidR="00937907" w:rsidRPr="006B3D5B">
        <w:t xml:space="preserve">additional duties for existing examiners) should be </w:t>
      </w:r>
      <w:r w:rsidR="00937907" w:rsidRPr="00CB5790">
        <w:t xml:space="preserve">produced by the Head of Department </w:t>
      </w:r>
      <w:r w:rsidR="000651E8">
        <w:t>and/or</w:t>
      </w:r>
      <w:r w:rsidR="00937907" w:rsidRPr="00CB5790">
        <w:t xml:space="preserve"> </w:t>
      </w:r>
      <w:r>
        <w:t>course</w:t>
      </w:r>
      <w:r w:rsidR="00937907" w:rsidRPr="00CB5790">
        <w:t xml:space="preserve"> leader</w:t>
      </w:r>
      <w:r w:rsidR="005455D6">
        <w:t>.</w:t>
      </w:r>
      <w:r w:rsidR="00937907" w:rsidRPr="00CB5790">
        <w:t xml:space="preserve"> Confirmation that staff are not currently serving as examiners in the nominee’s department should be determined at this early stage </w:t>
      </w:r>
      <w:proofErr w:type="gramStart"/>
      <w:r w:rsidR="00937907" w:rsidRPr="00CB5790">
        <w:t>in order to</w:t>
      </w:r>
      <w:proofErr w:type="gramEnd"/>
      <w:r w:rsidR="00937907" w:rsidRPr="00CB5790">
        <w:t xml:space="preserve"> avoid rejection of the nomination. For new/replacement nominations, the Head of Department </w:t>
      </w:r>
      <w:r w:rsidR="00502117">
        <w:t xml:space="preserve">or course leader </w:t>
      </w:r>
      <w:r w:rsidR="00937907" w:rsidRPr="00CB5790">
        <w:t xml:space="preserve">should also make an informal approach to the individual concerned to ask for a CV and to ensure that </w:t>
      </w:r>
      <w:r w:rsidR="00D0738F">
        <w:t xml:space="preserve">they </w:t>
      </w:r>
      <w:r w:rsidR="00937907" w:rsidRPr="00CB5790">
        <w:t>meet the criteria for appointment</w:t>
      </w:r>
      <w:r w:rsidR="00D0738F">
        <w:t xml:space="preserve"> </w:t>
      </w:r>
      <w:r w:rsidR="009F06D8">
        <w:t xml:space="preserve">and </w:t>
      </w:r>
      <w:r w:rsidR="00937907" w:rsidRPr="00CB5790">
        <w:t>understand the nature of the</w:t>
      </w:r>
      <w:r w:rsidR="005245FC">
        <w:t xml:space="preserve"> modules and</w:t>
      </w:r>
      <w:r w:rsidR="00937907" w:rsidRPr="00CB5790">
        <w:t xml:space="preserve"> course, timetable of assessments and likely workload. An informal approach should also be made if an exceptional extension or additional duties are proposed, following discussion with QAE.</w:t>
      </w:r>
    </w:p>
    <w:p w14:paraId="38478C32" w14:textId="77777777" w:rsidR="00B56CAB" w:rsidRDefault="00B56CAB" w:rsidP="00B56CAB">
      <w:pPr>
        <w:pStyle w:val="ListParagraph"/>
        <w:spacing w:before="0" w:line="240" w:lineRule="auto"/>
      </w:pPr>
    </w:p>
    <w:p w14:paraId="620F706C" w14:textId="2D38A2FD" w:rsidR="00CD1501" w:rsidRDefault="00937907" w:rsidP="00BD1EEB">
      <w:pPr>
        <w:pStyle w:val="ListParagraph"/>
        <w:numPr>
          <w:ilvl w:val="0"/>
          <w:numId w:val="11"/>
        </w:numPr>
        <w:spacing w:before="0" w:line="240" w:lineRule="auto"/>
      </w:pPr>
      <w:r w:rsidRPr="00CB5790">
        <w:t xml:space="preserve">Before Part 1 of the application form and CV are submitted to the </w:t>
      </w:r>
      <w:r w:rsidR="00760559">
        <w:t xml:space="preserve">Senior </w:t>
      </w:r>
      <w:r>
        <w:t>C</w:t>
      </w:r>
      <w:r w:rsidRPr="00CB5790">
        <w:t>o-ordinator</w:t>
      </w:r>
      <w:r w:rsidR="00760559">
        <w:t xml:space="preserve"> (QAE)</w:t>
      </w:r>
      <w:r w:rsidRPr="00CB5790">
        <w:t>, the Head of Department must check that the nominee meets all the appointment criteria</w:t>
      </w:r>
      <w:r w:rsidR="005245FC">
        <w:t xml:space="preserve"> and e</w:t>
      </w:r>
      <w:r w:rsidRPr="00CB5790">
        <w:t xml:space="preserve">nsure all sections of Part 1 of the application form are completed. Failure to do this may result in the form being returned which will cause a delay in the appointment process. </w:t>
      </w:r>
    </w:p>
    <w:p w14:paraId="6DF8714C" w14:textId="77777777" w:rsidR="00B56CAB" w:rsidRDefault="00B56CAB" w:rsidP="00B56CAB">
      <w:pPr>
        <w:pStyle w:val="ListParagraph"/>
        <w:spacing w:before="0" w:line="240" w:lineRule="auto"/>
      </w:pPr>
    </w:p>
    <w:p w14:paraId="3D02230D" w14:textId="6EB7BD60" w:rsidR="00CD1501" w:rsidRDefault="00937907" w:rsidP="00BD1EEB">
      <w:pPr>
        <w:pStyle w:val="ListParagraph"/>
        <w:numPr>
          <w:ilvl w:val="0"/>
          <w:numId w:val="11"/>
        </w:numPr>
        <w:spacing w:before="0" w:line="240" w:lineRule="auto"/>
      </w:pPr>
      <w:r w:rsidRPr="00CB5790">
        <w:t xml:space="preserve">Part 1 of the application form and CV should then be forwarded to the </w:t>
      </w:r>
      <w:r w:rsidR="00760559">
        <w:t>Senior C</w:t>
      </w:r>
      <w:r w:rsidR="00760559" w:rsidRPr="00CB5790">
        <w:t>o-ordinator</w:t>
      </w:r>
      <w:r w:rsidR="00760559">
        <w:t xml:space="preserve"> (QAE)</w:t>
      </w:r>
      <w:r w:rsidRPr="00CB5790">
        <w:t xml:space="preserve">. The </w:t>
      </w:r>
      <w:r w:rsidR="00760559">
        <w:t>Senior C</w:t>
      </w:r>
      <w:r w:rsidR="00760559" w:rsidRPr="00CB5790">
        <w:t>o-ordinator</w:t>
      </w:r>
      <w:r w:rsidR="00760559">
        <w:t xml:space="preserve"> (QAE)</w:t>
      </w:r>
      <w:r w:rsidRPr="00CB5790">
        <w:t xml:space="preserve"> will send the nominee a link to Part 2 of the application form which is completed online through the University’s recruitment system. The </w:t>
      </w:r>
      <w:r w:rsidR="00760559">
        <w:t>Senior C</w:t>
      </w:r>
      <w:r w:rsidR="00760559" w:rsidRPr="00CB5790">
        <w:t>o-ordinator</w:t>
      </w:r>
      <w:r w:rsidR="00760559">
        <w:t xml:space="preserve"> (QAE) </w:t>
      </w:r>
      <w:r w:rsidRPr="00CB5790">
        <w:t xml:space="preserve">will </w:t>
      </w:r>
      <w:r w:rsidR="00EF349D">
        <w:t>check the completed</w:t>
      </w:r>
      <w:r w:rsidR="00AA2FC5">
        <w:t xml:space="preserve"> application form against the University criteria for the appointment and then </w:t>
      </w:r>
      <w:r w:rsidRPr="00CB5790">
        <w:t xml:space="preserve">send </w:t>
      </w:r>
      <w:r w:rsidR="00AA2FC5">
        <w:t>it</w:t>
      </w:r>
      <w:r w:rsidR="00D2354D">
        <w:t xml:space="preserve"> </w:t>
      </w:r>
      <w:r w:rsidRPr="00CB5790">
        <w:t xml:space="preserve">to </w:t>
      </w:r>
      <w:r w:rsidR="00B06CF5" w:rsidRPr="00CB5790">
        <w:t>the</w:t>
      </w:r>
      <w:r w:rsidR="00B06CF5">
        <w:t xml:space="preserve"> </w:t>
      </w:r>
      <w:r w:rsidR="00B67742">
        <w:t>Deputy Dean</w:t>
      </w:r>
      <w:r w:rsidR="00AB06C6">
        <w:t xml:space="preserve"> (or nominee)</w:t>
      </w:r>
      <w:r w:rsidR="00793214">
        <w:t xml:space="preserve">, </w:t>
      </w:r>
      <w:r w:rsidRPr="00CB5790">
        <w:t>together with Part 3</w:t>
      </w:r>
      <w:r w:rsidR="00793214">
        <w:t xml:space="preserve"> to </w:t>
      </w:r>
      <w:r w:rsidRPr="00CB5790">
        <w:t xml:space="preserve">recommend/not recommend approval by QAE. </w:t>
      </w:r>
    </w:p>
    <w:p w14:paraId="24A20874" w14:textId="77777777" w:rsidR="00B56CAB" w:rsidRDefault="00B56CAB" w:rsidP="00B56CAB">
      <w:pPr>
        <w:pStyle w:val="ListParagraph"/>
        <w:spacing w:before="0" w:line="240" w:lineRule="auto"/>
      </w:pPr>
    </w:p>
    <w:p w14:paraId="37AB4FDE" w14:textId="19E8F97F" w:rsidR="00CD1501" w:rsidRPr="00CD1501" w:rsidRDefault="007C262B" w:rsidP="00BD1EEB">
      <w:pPr>
        <w:pStyle w:val="ListParagraph"/>
        <w:numPr>
          <w:ilvl w:val="0"/>
          <w:numId w:val="11"/>
        </w:numPr>
        <w:spacing w:before="0" w:line="240" w:lineRule="auto"/>
      </w:pPr>
      <w:r>
        <w:t xml:space="preserve">Once approved, </w:t>
      </w:r>
      <w:r w:rsidR="00937907" w:rsidRPr="00CB5790">
        <w:t xml:space="preserve">QAE will </w:t>
      </w:r>
      <w:r>
        <w:t xml:space="preserve">inform the faculty and </w:t>
      </w:r>
      <w:r w:rsidR="00937907" w:rsidRPr="00CB5790">
        <w:t>send the newly appointed external examiner an appointment letter</w:t>
      </w:r>
      <w:r w:rsidR="00937907" w:rsidRPr="008A54DC">
        <w:t>.  The</w:t>
      </w:r>
      <w:r w:rsidR="00937907" w:rsidRPr="00CB5790">
        <w:t xml:space="preserve"> external examiner will be registered on the External Examiners’</w:t>
      </w:r>
      <w:r w:rsidR="00A80B9C">
        <w:t xml:space="preserve"> Reporting System</w:t>
      </w:r>
      <w:r w:rsidR="00937907" w:rsidRPr="00CB5790">
        <w:t xml:space="preserve"> (EERS) and will be invited to a </w:t>
      </w:r>
      <w:proofErr w:type="gramStart"/>
      <w:r w:rsidR="00937907" w:rsidRPr="00CB5790">
        <w:t>University</w:t>
      </w:r>
      <w:proofErr w:type="gramEnd"/>
      <w:r w:rsidR="00525B18">
        <w:t>-</w:t>
      </w:r>
      <w:r w:rsidR="00937907" w:rsidRPr="00CB5790">
        <w:t>level induction event.</w:t>
      </w:r>
    </w:p>
    <w:p w14:paraId="47676709" w14:textId="77777777" w:rsidR="00B56CAB" w:rsidRDefault="00B56CAB" w:rsidP="00B56CAB">
      <w:pPr>
        <w:pStyle w:val="ListParagraph"/>
        <w:spacing w:before="0" w:line="240" w:lineRule="auto"/>
      </w:pPr>
    </w:p>
    <w:p w14:paraId="71458FCE" w14:textId="19B84D16" w:rsidR="00CD1501" w:rsidRPr="00CD1501" w:rsidRDefault="00937907" w:rsidP="00BD1EEB">
      <w:pPr>
        <w:pStyle w:val="ListParagraph"/>
        <w:numPr>
          <w:ilvl w:val="0"/>
          <w:numId w:val="11"/>
        </w:numPr>
        <w:spacing w:before="0" w:line="240" w:lineRule="auto"/>
      </w:pPr>
      <w:r w:rsidRPr="00CB5790">
        <w:t xml:space="preserve">Where a nomination is not approved by either the </w:t>
      </w:r>
      <w:r w:rsidR="00AB06C6">
        <w:t xml:space="preserve">Deputy Dean (or nominee) </w:t>
      </w:r>
      <w:r w:rsidRPr="00CB5790">
        <w:t xml:space="preserve">and/or QAE, the </w:t>
      </w:r>
      <w:r w:rsidR="00C634CA">
        <w:t xml:space="preserve">faculty </w:t>
      </w:r>
      <w:r w:rsidRPr="00CB5790">
        <w:t xml:space="preserve">will be notified of the reasons why the nomination was rejected and request that a replacement nomination is submitted. The new nomination will follow the process outlined above. Exceptionally, where circumstances warrant, faculties will be permitted to submit the same nomination with further supporting information relating to the criterion under which it was </w:t>
      </w:r>
      <w:r w:rsidRPr="00A2188C">
        <w:t xml:space="preserve">rejected.  </w:t>
      </w:r>
    </w:p>
    <w:p w14:paraId="4BC9E10D" w14:textId="77777777" w:rsidR="00B56CAB" w:rsidRDefault="00B56CAB" w:rsidP="00B56CAB">
      <w:pPr>
        <w:pStyle w:val="ListParagraph"/>
        <w:spacing w:before="0" w:line="240" w:lineRule="auto"/>
      </w:pPr>
    </w:p>
    <w:p w14:paraId="5C85D00F" w14:textId="5BDF8396" w:rsidR="00937907" w:rsidRPr="00CD1501" w:rsidRDefault="00937907" w:rsidP="00BD1EEB">
      <w:pPr>
        <w:pStyle w:val="ListParagraph"/>
        <w:numPr>
          <w:ilvl w:val="0"/>
          <w:numId w:val="11"/>
        </w:numPr>
        <w:spacing w:before="0" w:line="240" w:lineRule="auto"/>
      </w:pPr>
      <w:r w:rsidRPr="00A2188C">
        <w:t xml:space="preserve">Where required, professional body approval must not be sought until after the </w:t>
      </w:r>
      <w:r w:rsidR="00921DCD">
        <w:lastRenderedPageBreak/>
        <w:t xml:space="preserve">Head of School </w:t>
      </w:r>
      <w:r w:rsidRPr="00A2188C">
        <w:t xml:space="preserve">and </w:t>
      </w:r>
      <w:r w:rsidR="00A2188C" w:rsidRPr="00A2188C">
        <w:t xml:space="preserve">QAE </w:t>
      </w:r>
      <w:r w:rsidRPr="00A2188C">
        <w:t>ha</w:t>
      </w:r>
      <w:r w:rsidR="00D72F13">
        <w:t>ve</w:t>
      </w:r>
      <w:r w:rsidRPr="00A2188C">
        <w:t xml:space="preserve"> approved the nomination.</w:t>
      </w:r>
    </w:p>
    <w:p w14:paraId="0B977FF0" w14:textId="77777777" w:rsidR="00B56CAB" w:rsidRDefault="00B56CAB" w:rsidP="00BD1EEB">
      <w:pPr>
        <w:pStyle w:val="Heading3"/>
      </w:pPr>
      <w:bookmarkStart w:id="35" w:name="_Toc97630767"/>
    </w:p>
    <w:p w14:paraId="7799B749" w14:textId="40110A31" w:rsidR="00937907" w:rsidRPr="00CD1501" w:rsidRDefault="00B858C5" w:rsidP="00BD1EEB">
      <w:pPr>
        <w:pStyle w:val="Heading3"/>
      </w:pPr>
      <w:bookmarkStart w:id="36" w:name="_Toc203731656"/>
      <w:r>
        <w:t xml:space="preserve">PAB </w:t>
      </w:r>
      <w:r w:rsidR="00937907">
        <w:t>external examiner</w:t>
      </w:r>
      <w:r>
        <w:t xml:space="preserve"> – appointment criteria</w:t>
      </w:r>
      <w:bookmarkEnd w:id="35"/>
      <w:bookmarkEnd w:id="36"/>
      <w:r>
        <w:t xml:space="preserve"> </w:t>
      </w:r>
    </w:p>
    <w:p w14:paraId="4DCD2401" w14:textId="6AF1D1BA" w:rsidR="0046629C" w:rsidRPr="00290CAD" w:rsidRDefault="0046629C" w:rsidP="00BD1EEB">
      <w:pPr>
        <w:pStyle w:val="ListParagraph"/>
        <w:numPr>
          <w:ilvl w:val="0"/>
          <w:numId w:val="11"/>
        </w:numPr>
        <w:spacing w:before="0" w:line="240" w:lineRule="auto"/>
        <w:rPr>
          <w:snapToGrid w:val="0"/>
        </w:rPr>
      </w:pPr>
      <w:r w:rsidRPr="00290CAD">
        <w:rPr>
          <w:snapToGrid w:val="0"/>
        </w:rPr>
        <w:t>The University will appoint PAB external examiners who can show appropriate evidence of the following:</w:t>
      </w:r>
    </w:p>
    <w:p w14:paraId="7E7B17CE" w14:textId="60097903" w:rsidR="0046629C" w:rsidRPr="00516A66" w:rsidRDefault="0046629C" w:rsidP="00BD1EEB">
      <w:pPr>
        <w:pStyle w:val="ListParagraph"/>
        <w:numPr>
          <w:ilvl w:val="0"/>
          <w:numId w:val="5"/>
        </w:numPr>
        <w:spacing w:before="0" w:line="240" w:lineRule="auto"/>
      </w:pPr>
      <w:r w:rsidRPr="0046629C">
        <w:t xml:space="preserve">experience of working in a UK HEI in a senior position </w:t>
      </w:r>
      <w:r w:rsidR="00105646" w:rsidRPr="0046629C">
        <w:t>e.g.,</w:t>
      </w:r>
      <w:r w:rsidRPr="0046629C">
        <w:t xml:space="preserve"> Pro Vice-Chancellor (Education), Associate Dean, School Director of Learning &amp; Teaching, Head of School, Academic Registrar or Head of Quality </w:t>
      </w:r>
      <w:proofErr w:type="gramStart"/>
      <w:r w:rsidRPr="0046629C">
        <w:t>Assurance;</w:t>
      </w:r>
      <w:proofErr w:type="gramEnd"/>
    </w:p>
    <w:p w14:paraId="2C508048" w14:textId="5A858E31" w:rsidR="0046629C" w:rsidRPr="0046629C" w:rsidRDefault="0046629C" w:rsidP="00BD1EEB">
      <w:pPr>
        <w:pStyle w:val="ListParagraph"/>
        <w:numPr>
          <w:ilvl w:val="0"/>
          <w:numId w:val="5"/>
        </w:numPr>
        <w:spacing w:before="0" w:line="240" w:lineRule="auto"/>
      </w:pPr>
      <w:r w:rsidRPr="0046629C">
        <w:t xml:space="preserve">understanding of UK sector agreed reference points for the maintenance of academic standards and assurance and enhancement of </w:t>
      </w:r>
      <w:proofErr w:type="gramStart"/>
      <w:r w:rsidRPr="0046629C">
        <w:t>quality;</w:t>
      </w:r>
      <w:proofErr w:type="gramEnd"/>
    </w:p>
    <w:p w14:paraId="6FC9A7C6" w14:textId="6D361406" w:rsidR="00AE248D" w:rsidRPr="00AE248D" w:rsidRDefault="0046629C" w:rsidP="00BD1EEB">
      <w:pPr>
        <w:pStyle w:val="ListParagraph"/>
        <w:numPr>
          <w:ilvl w:val="0"/>
          <w:numId w:val="5"/>
        </w:numPr>
        <w:spacing w:before="0" w:line="240" w:lineRule="auto"/>
      </w:pPr>
      <w:r w:rsidRPr="0046629C">
        <w:t xml:space="preserve">experience as a Chair or member of assessment boards or significant experience of the application of assessment regulations and understanding of assessment board processes in UK </w:t>
      </w:r>
      <w:proofErr w:type="gramStart"/>
      <w:r w:rsidRPr="0046629C">
        <w:t>HEIs;</w:t>
      </w:r>
      <w:proofErr w:type="gramEnd"/>
    </w:p>
    <w:p w14:paraId="05C69B67" w14:textId="4EC0F07B" w:rsidR="0046629C" w:rsidRPr="0046629C" w:rsidRDefault="0046629C" w:rsidP="00BD1EEB">
      <w:pPr>
        <w:pStyle w:val="ListParagraph"/>
        <w:numPr>
          <w:ilvl w:val="0"/>
          <w:numId w:val="5"/>
        </w:numPr>
        <w:spacing w:before="0" w:line="240" w:lineRule="auto"/>
      </w:pPr>
      <w:r w:rsidRPr="0046629C">
        <w:t>fluency in English</w:t>
      </w:r>
      <w:r w:rsidRPr="0046629C">
        <w:fldChar w:fldCharType="begin"/>
      </w:r>
      <w:r w:rsidRPr="0046629C">
        <w:instrText xml:space="preserve"> XE "Institutional Agreement" </w:instrText>
      </w:r>
      <w:r w:rsidRPr="0046629C">
        <w:fldChar w:fldCharType="end"/>
      </w:r>
      <w:r w:rsidRPr="0046629C">
        <w:t>;</w:t>
      </w:r>
    </w:p>
    <w:p w14:paraId="401FEB99" w14:textId="6432DB11" w:rsidR="0046629C" w:rsidRDefault="0046629C" w:rsidP="00BD1EEB">
      <w:pPr>
        <w:pStyle w:val="ListParagraph"/>
        <w:numPr>
          <w:ilvl w:val="0"/>
          <w:numId w:val="5"/>
        </w:numPr>
        <w:spacing w:before="0" w:line="240" w:lineRule="auto"/>
      </w:pPr>
      <w:r w:rsidRPr="0046629C">
        <w:t xml:space="preserve">eligibility to work in the UK. All nominees will be required to provide original UKVI recognised documentation of their status, prior to </w:t>
      </w:r>
      <w:proofErr w:type="gramStart"/>
      <w:r w:rsidRPr="0046629C">
        <w:t>appointment;</w:t>
      </w:r>
      <w:proofErr w:type="gramEnd"/>
    </w:p>
    <w:p w14:paraId="44B8530A" w14:textId="7D7B6C2C" w:rsidR="00CA237A" w:rsidRPr="0046629C" w:rsidRDefault="00CA237A" w:rsidP="00CA237A">
      <w:pPr>
        <w:pStyle w:val="ListParagraph"/>
        <w:numPr>
          <w:ilvl w:val="0"/>
          <w:numId w:val="5"/>
        </w:numPr>
        <w:spacing w:before="0" w:line="240" w:lineRule="auto"/>
      </w:pPr>
      <w:r>
        <w:t>UK residency. The University</w:t>
      </w:r>
      <w:r w:rsidRPr="006504DE">
        <w:t xml:space="preserve"> cannot permit staff to work from overseas due to potential legal </w:t>
      </w:r>
      <w:proofErr w:type="gramStart"/>
      <w:r w:rsidRPr="006504DE">
        <w:t>implications</w:t>
      </w:r>
      <w:r>
        <w:t>;</w:t>
      </w:r>
      <w:proofErr w:type="gramEnd"/>
    </w:p>
    <w:p w14:paraId="0CEEDA3C" w14:textId="049CE840" w:rsidR="0046629C" w:rsidRPr="00B16834" w:rsidRDefault="0046629C" w:rsidP="00BD1EEB">
      <w:pPr>
        <w:pStyle w:val="ListParagraph"/>
        <w:numPr>
          <w:ilvl w:val="0"/>
          <w:numId w:val="5"/>
        </w:numPr>
        <w:spacing w:before="0" w:line="240" w:lineRule="auto"/>
      </w:pPr>
      <w:r w:rsidRPr="0046629C">
        <w:t>in the case of retired nominees, evidence of recent involvement as Chair or member of assessment boards or evidence of the application of assessment regulations and understanding of assessment board processes in UK HEIs.</w:t>
      </w:r>
    </w:p>
    <w:p w14:paraId="6B04AA90" w14:textId="77777777" w:rsidR="00B56CAB" w:rsidRDefault="00B56CAB" w:rsidP="00BD1EEB">
      <w:pPr>
        <w:pStyle w:val="Heading3"/>
      </w:pPr>
      <w:bookmarkStart w:id="37" w:name="_Toc97630768"/>
    </w:p>
    <w:p w14:paraId="3832A8AF" w14:textId="4A626EA1" w:rsidR="00392F3F" w:rsidRPr="00B16834" w:rsidRDefault="00B858C5" w:rsidP="00BD1EEB">
      <w:pPr>
        <w:pStyle w:val="Heading3"/>
      </w:pPr>
      <w:bookmarkStart w:id="38" w:name="_Toc203731657"/>
      <w:r>
        <w:t xml:space="preserve">Procedure for the appointment of PAB </w:t>
      </w:r>
      <w:r w:rsidR="00937907">
        <w:t>external examiners</w:t>
      </w:r>
      <w:bookmarkEnd w:id="37"/>
      <w:bookmarkEnd w:id="38"/>
      <w:r>
        <w:t xml:space="preserve"> </w:t>
      </w:r>
    </w:p>
    <w:p w14:paraId="2590BF8A" w14:textId="344B23D5" w:rsidR="00B16834" w:rsidRPr="00B16834" w:rsidRDefault="00B7702F" w:rsidP="00BD1EEB">
      <w:pPr>
        <w:pStyle w:val="ListParagraph"/>
        <w:numPr>
          <w:ilvl w:val="0"/>
          <w:numId w:val="11"/>
        </w:numPr>
        <w:spacing w:before="0" w:line="240" w:lineRule="auto"/>
      </w:pPr>
      <w:r>
        <w:t xml:space="preserve">QAE is responsible for appointing new PAB external examiners in line with the appointment criteria </w:t>
      </w:r>
      <w:r w:rsidR="00AC63A6">
        <w:t>above</w:t>
      </w:r>
      <w:r w:rsidR="00B0099B">
        <w:t xml:space="preserve">. Once appointed, </w:t>
      </w:r>
      <w:r w:rsidR="00B0099B" w:rsidRPr="00B0099B">
        <w:t>QAE will send the newly appointed external examiner an appointment letter, a copy of which will be uploaded to the shared repository for information</w:t>
      </w:r>
      <w:r w:rsidR="00B0099B">
        <w:t xml:space="preserve">. </w:t>
      </w:r>
      <w:r w:rsidR="00B0099B" w:rsidRPr="00CB5790">
        <w:t>The external examiner will be registered on the External Examiners’</w:t>
      </w:r>
      <w:r w:rsidR="00B0099B">
        <w:t xml:space="preserve"> Reporting System</w:t>
      </w:r>
      <w:r w:rsidR="00B0099B" w:rsidRPr="00CB5790">
        <w:t xml:space="preserve"> (EERS) and will be invited to a</w:t>
      </w:r>
      <w:r w:rsidR="00ED226C">
        <w:t>n</w:t>
      </w:r>
      <w:r w:rsidR="00B0099B" w:rsidRPr="00CB5790">
        <w:t xml:space="preserve"> induction event.</w:t>
      </w:r>
    </w:p>
    <w:p w14:paraId="60F9050B" w14:textId="77777777" w:rsidR="00B56CAB" w:rsidRDefault="00B56CAB" w:rsidP="00B56CAB">
      <w:pPr>
        <w:pStyle w:val="ListParagraph"/>
        <w:spacing w:before="0" w:line="240" w:lineRule="auto"/>
      </w:pPr>
    </w:p>
    <w:p w14:paraId="0EB0DDA9" w14:textId="4DC5AF6B" w:rsidR="00362D78" w:rsidRDefault="00095630" w:rsidP="00BD1EEB">
      <w:pPr>
        <w:pStyle w:val="ListParagraph"/>
        <w:numPr>
          <w:ilvl w:val="0"/>
          <w:numId w:val="11"/>
        </w:numPr>
        <w:spacing w:before="0" w:line="240" w:lineRule="auto"/>
      </w:pPr>
      <w:r>
        <w:t>At the start of each academic year, t</w:t>
      </w:r>
      <w:r w:rsidR="00B0099B">
        <w:t xml:space="preserve">he </w:t>
      </w:r>
      <w:r w:rsidR="005F1019">
        <w:t xml:space="preserve">Regulations, Assessment and Student Casework </w:t>
      </w:r>
      <w:r w:rsidR="00B0099B">
        <w:t xml:space="preserve">team </w:t>
      </w:r>
      <w:r>
        <w:t>will assign</w:t>
      </w:r>
      <w:r w:rsidR="00B0099B">
        <w:t xml:space="preserve"> PAB external examiners to Programme Assessment Boards </w:t>
      </w:r>
      <w:r>
        <w:t xml:space="preserve">for that year. </w:t>
      </w:r>
    </w:p>
    <w:p w14:paraId="4FABBA74" w14:textId="77777777" w:rsidR="00B56CAB" w:rsidRDefault="00B56CAB" w:rsidP="00BD1EEB">
      <w:pPr>
        <w:pStyle w:val="Heading3"/>
      </w:pPr>
    </w:p>
    <w:p w14:paraId="30B160E8" w14:textId="601A3C49" w:rsidR="00362D78" w:rsidRDefault="008F43D2" w:rsidP="00BD1EEB">
      <w:pPr>
        <w:pStyle w:val="Heading3"/>
      </w:pPr>
      <w:bookmarkStart w:id="39" w:name="_Toc203731658"/>
      <w:r>
        <w:t>H</w:t>
      </w:r>
      <w:r w:rsidR="00EE183D">
        <w:t>DA</w:t>
      </w:r>
      <w:r w:rsidR="00362D78">
        <w:t xml:space="preserve"> external examiner – appointment criteria</w:t>
      </w:r>
      <w:bookmarkEnd w:id="39"/>
      <w:r w:rsidR="00362D78">
        <w:t xml:space="preserve"> </w:t>
      </w:r>
    </w:p>
    <w:p w14:paraId="3D0CA1D3" w14:textId="417F682F" w:rsidR="0087037F" w:rsidRPr="00C02DA8" w:rsidRDefault="0087037F" w:rsidP="00BD1EEB">
      <w:pPr>
        <w:pStyle w:val="ListParagraph"/>
        <w:numPr>
          <w:ilvl w:val="0"/>
          <w:numId w:val="11"/>
        </w:numPr>
        <w:spacing w:before="0" w:line="240" w:lineRule="auto"/>
        <w:rPr>
          <w:rFonts w:cs="Arial"/>
          <w:szCs w:val="24"/>
        </w:rPr>
      </w:pPr>
      <w:bookmarkStart w:id="40" w:name="_Hlk113972570"/>
      <w:r w:rsidRPr="00C02DA8">
        <w:rPr>
          <w:rFonts w:cs="Arial"/>
          <w:szCs w:val="24"/>
        </w:rPr>
        <w:t>The University will appoint Higher and Degree Apprenticeship (HDA) external examiners who can show appropriate evidence of the following:</w:t>
      </w:r>
    </w:p>
    <w:p w14:paraId="3284A233" w14:textId="19265557" w:rsidR="007C276D" w:rsidRDefault="008A00D9" w:rsidP="00BD1EEB">
      <w:pPr>
        <w:pStyle w:val="ListParagraph"/>
        <w:numPr>
          <w:ilvl w:val="0"/>
          <w:numId w:val="10"/>
        </w:numPr>
        <w:spacing w:before="0" w:line="240" w:lineRule="auto"/>
      </w:pPr>
      <w:r w:rsidRPr="00307061">
        <w:t>experience of working in a UK HEI in a senior position that oversees and manages higher and degree apprenticeships e.g. Head of Degree</w:t>
      </w:r>
      <w:r w:rsidR="00B90341">
        <w:t xml:space="preserve"> </w:t>
      </w:r>
      <w:r w:rsidRPr="00307061">
        <w:t>Apprenticeships,</w:t>
      </w:r>
      <w:r w:rsidR="00F90555">
        <w:t xml:space="preserve"> Pro Vice-Chancellor, Associate Dean, Head of Quality Assurance and Enhancement</w:t>
      </w:r>
      <w:r w:rsidR="00D710D3">
        <w:t xml:space="preserve">, Academic Registrar, Head of </w:t>
      </w:r>
      <w:proofErr w:type="gramStart"/>
      <w:r w:rsidR="00D710D3">
        <w:t>School</w:t>
      </w:r>
      <w:r w:rsidR="00B90341">
        <w:t>;</w:t>
      </w:r>
      <w:proofErr w:type="gramEnd"/>
    </w:p>
    <w:p w14:paraId="154F7D54" w14:textId="6758654B" w:rsidR="00B647AA" w:rsidRPr="00583BF7" w:rsidRDefault="00B647AA" w:rsidP="00BD1EEB">
      <w:pPr>
        <w:pStyle w:val="ListParagraph"/>
        <w:numPr>
          <w:ilvl w:val="0"/>
          <w:numId w:val="10"/>
        </w:numPr>
        <w:spacing w:before="0" w:line="240" w:lineRule="auto"/>
        <w:rPr>
          <w:i/>
          <w:iCs/>
        </w:rPr>
      </w:pPr>
      <w:r>
        <w:t xml:space="preserve">operational </w:t>
      </w:r>
      <w:r w:rsidR="008A00D9" w:rsidRPr="00307061">
        <w:t xml:space="preserve">experience of </w:t>
      </w:r>
      <w:r w:rsidR="00597CEE">
        <w:t xml:space="preserve">HDA </w:t>
      </w:r>
      <w:proofErr w:type="gramStart"/>
      <w:r w:rsidR="00597CEE">
        <w:t>provision;</w:t>
      </w:r>
      <w:proofErr w:type="gramEnd"/>
    </w:p>
    <w:p w14:paraId="4501D71E" w14:textId="4D0510A8" w:rsidR="007C276D" w:rsidRPr="00307061" w:rsidRDefault="00FC7C82" w:rsidP="00BD1EEB">
      <w:pPr>
        <w:pStyle w:val="ListParagraph"/>
        <w:numPr>
          <w:ilvl w:val="0"/>
          <w:numId w:val="10"/>
        </w:numPr>
        <w:spacing w:before="0" w:line="240" w:lineRule="auto"/>
      </w:pPr>
      <w:r>
        <w:t xml:space="preserve">familiarity with </w:t>
      </w:r>
      <w:r w:rsidR="005C3E8E">
        <w:t>a</w:t>
      </w:r>
      <w:r>
        <w:t xml:space="preserve">pprenticeship </w:t>
      </w:r>
      <w:r w:rsidR="005C3E8E">
        <w:t>s</w:t>
      </w:r>
      <w:r>
        <w:t>tandards and</w:t>
      </w:r>
      <w:r w:rsidR="008A00D9" w:rsidRPr="00307061">
        <w:t xml:space="preserve"> E</w:t>
      </w:r>
      <w:r>
        <w:t xml:space="preserve">nd </w:t>
      </w:r>
      <w:r w:rsidR="008A00D9" w:rsidRPr="00307061">
        <w:t>P</w:t>
      </w:r>
      <w:r>
        <w:t xml:space="preserve">oint </w:t>
      </w:r>
      <w:proofErr w:type="gramStart"/>
      <w:r w:rsidR="009C208E" w:rsidRPr="00307061">
        <w:t>A</w:t>
      </w:r>
      <w:r w:rsidR="009C208E">
        <w:t>ssessmen</w:t>
      </w:r>
      <w:r w:rsidR="009C208E" w:rsidRPr="00307061">
        <w:t>ts</w:t>
      </w:r>
      <w:r w:rsidR="00B90341">
        <w:t>;</w:t>
      </w:r>
      <w:proofErr w:type="gramEnd"/>
    </w:p>
    <w:p w14:paraId="4D29E6C1" w14:textId="636D51BD" w:rsidR="00307061" w:rsidRPr="00307061" w:rsidRDefault="003E291B" w:rsidP="00BD1EEB">
      <w:pPr>
        <w:pStyle w:val="ListParagraph"/>
        <w:numPr>
          <w:ilvl w:val="0"/>
          <w:numId w:val="10"/>
        </w:numPr>
        <w:spacing w:before="0" w:line="240" w:lineRule="auto"/>
      </w:pPr>
      <w:r>
        <w:t xml:space="preserve">an </w:t>
      </w:r>
      <w:r w:rsidR="008A00D9" w:rsidRPr="00307061">
        <w:t xml:space="preserve">understanding of UK sector agreed reference points for the </w:t>
      </w:r>
      <w:r w:rsidR="008A00D9" w:rsidRPr="00307061">
        <w:lastRenderedPageBreak/>
        <w:t xml:space="preserve">maintenance of academic standards and assurance and enhancement of quality in relation to higher and degree </w:t>
      </w:r>
      <w:proofErr w:type="gramStart"/>
      <w:r w:rsidR="008A00D9" w:rsidRPr="00307061">
        <w:t>apprenticeships;</w:t>
      </w:r>
      <w:proofErr w:type="gramEnd"/>
      <w:r w:rsidR="008A00D9" w:rsidRPr="00307061">
        <w:t xml:space="preserve"> </w:t>
      </w:r>
    </w:p>
    <w:bookmarkEnd w:id="40"/>
    <w:p w14:paraId="6212F237" w14:textId="479D9E1C" w:rsidR="008A00D9" w:rsidRPr="00307061" w:rsidRDefault="008A00D9" w:rsidP="00BD1EEB">
      <w:pPr>
        <w:pStyle w:val="ListParagraph"/>
        <w:numPr>
          <w:ilvl w:val="0"/>
          <w:numId w:val="10"/>
        </w:numPr>
        <w:spacing w:before="0" w:line="240" w:lineRule="auto"/>
      </w:pPr>
      <w:r w:rsidRPr="00307061">
        <w:t>fluency in English</w:t>
      </w:r>
      <w:r w:rsidRPr="00307061">
        <w:fldChar w:fldCharType="begin"/>
      </w:r>
      <w:r w:rsidRPr="00307061">
        <w:instrText xml:space="preserve"> XE "Institutional Agreement" </w:instrText>
      </w:r>
      <w:r w:rsidRPr="00307061">
        <w:fldChar w:fldCharType="end"/>
      </w:r>
      <w:r w:rsidRPr="00307061">
        <w:t>;</w:t>
      </w:r>
    </w:p>
    <w:p w14:paraId="1E81CA32" w14:textId="5D4C1834" w:rsidR="008A00D9" w:rsidRDefault="008A00D9" w:rsidP="00BD1EEB">
      <w:pPr>
        <w:pStyle w:val="ListParagraph"/>
        <w:numPr>
          <w:ilvl w:val="0"/>
          <w:numId w:val="10"/>
        </w:numPr>
        <w:spacing w:before="0" w:line="240" w:lineRule="auto"/>
      </w:pPr>
      <w:r w:rsidRPr="00307061">
        <w:t xml:space="preserve">eligibility to work in the UK. All nominees will be required to provide original UKVI recognised documentation of their status, prior to </w:t>
      </w:r>
      <w:proofErr w:type="gramStart"/>
      <w:r w:rsidRPr="00307061">
        <w:t>appointment;</w:t>
      </w:r>
      <w:proofErr w:type="gramEnd"/>
      <w:r w:rsidRPr="00307061">
        <w:tab/>
      </w:r>
    </w:p>
    <w:p w14:paraId="628B4750" w14:textId="131F5CB7" w:rsidR="00CA237A" w:rsidRPr="00307061" w:rsidRDefault="00CA237A" w:rsidP="00CA237A">
      <w:pPr>
        <w:pStyle w:val="ListParagraph"/>
        <w:numPr>
          <w:ilvl w:val="0"/>
          <w:numId w:val="10"/>
        </w:numPr>
        <w:spacing w:before="0" w:line="240" w:lineRule="auto"/>
      </w:pPr>
      <w:r>
        <w:t>UK residency. The University</w:t>
      </w:r>
      <w:r w:rsidRPr="006504DE">
        <w:t xml:space="preserve"> cannot permit staff to work from overseas due to potential legal </w:t>
      </w:r>
      <w:proofErr w:type="gramStart"/>
      <w:r w:rsidRPr="006504DE">
        <w:t>implications</w:t>
      </w:r>
      <w:r>
        <w:t>;</w:t>
      </w:r>
      <w:proofErr w:type="gramEnd"/>
    </w:p>
    <w:p w14:paraId="3F3BB77C" w14:textId="0314E699" w:rsidR="00362D78" w:rsidRPr="00307061" w:rsidRDefault="008A00D9" w:rsidP="00BD1EEB">
      <w:pPr>
        <w:pStyle w:val="ListParagraph"/>
        <w:numPr>
          <w:ilvl w:val="0"/>
          <w:numId w:val="10"/>
        </w:numPr>
        <w:spacing w:before="0" w:line="240" w:lineRule="auto"/>
      </w:pPr>
      <w:r w:rsidRPr="00307061">
        <w:t>in the case of retired nominees, evidence of recent involvement in the management of higher and degree apprenticeships and experience of higher and degree apprenticeship workplace practice.</w:t>
      </w:r>
    </w:p>
    <w:p w14:paraId="0F8F76EB" w14:textId="77777777" w:rsidR="00B56CAB" w:rsidRDefault="00B56CAB" w:rsidP="00BD1EEB">
      <w:pPr>
        <w:pStyle w:val="Heading3"/>
      </w:pPr>
    </w:p>
    <w:p w14:paraId="56600D11" w14:textId="672EE4D0" w:rsidR="00362D78" w:rsidRPr="00B16834" w:rsidRDefault="00362D78" w:rsidP="00BD1EEB">
      <w:pPr>
        <w:pStyle w:val="Heading3"/>
      </w:pPr>
      <w:bookmarkStart w:id="41" w:name="_Toc203731659"/>
      <w:r>
        <w:t xml:space="preserve">Procedure for the appointment of </w:t>
      </w:r>
      <w:r w:rsidR="005F1019">
        <w:t>HDA</w:t>
      </w:r>
      <w:r w:rsidR="007B02DC">
        <w:t xml:space="preserve"> </w:t>
      </w:r>
      <w:r>
        <w:t>external examiners</w:t>
      </w:r>
      <w:bookmarkEnd w:id="41"/>
      <w:r>
        <w:t xml:space="preserve"> </w:t>
      </w:r>
    </w:p>
    <w:p w14:paraId="7B4B8EA8" w14:textId="4006CC58" w:rsidR="003E790A" w:rsidRPr="00B16834" w:rsidRDefault="003E790A" w:rsidP="00BD1EEB">
      <w:pPr>
        <w:pStyle w:val="ListParagraph"/>
        <w:numPr>
          <w:ilvl w:val="0"/>
          <w:numId w:val="11"/>
        </w:numPr>
        <w:spacing w:before="0" w:line="240" w:lineRule="auto"/>
      </w:pPr>
      <w:r>
        <w:t xml:space="preserve">QAE is responsible for appointing new </w:t>
      </w:r>
      <w:r w:rsidR="00EE183D">
        <w:t>HDA</w:t>
      </w:r>
      <w:r>
        <w:t xml:space="preserve"> external examiners in line with the appointment criteria above.</w:t>
      </w:r>
      <w:r w:rsidRPr="00C20A58">
        <w:t xml:space="preserve"> </w:t>
      </w:r>
      <w:r>
        <w:t xml:space="preserve">Once appointed, </w:t>
      </w:r>
      <w:r w:rsidRPr="00B0099B">
        <w:t>QAE will send the newly appointed external examiner an appointment letter, a copy of which will be uploaded to the shared repository for information</w:t>
      </w:r>
      <w:r>
        <w:t xml:space="preserve">. </w:t>
      </w:r>
      <w:r w:rsidRPr="00CB5790">
        <w:t>The external examiner will be registered on the External Examiners’</w:t>
      </w:r>
      <w:r>
        <w:t xml:space="preserve"> Reporting System</w:t>
      </w:r>
      <w:r w:rsidRPr="00CB5790">
        <w:t xml:space="preserve"> (EERS) and will be invited to a</w:t>
      </w:r>
      <w:r w:rsidR="00ED226C">
        <w:t>n</w:t>
      </w:r>
      <w:r w:rsidRPr="00CB5790">
        <w:t xml:space="preserve"> induction event.</w:t>
      </w:r>
    </w:p>
    <w:p w14:paraId="43976411" w14:textId="77777777" w:rsidR="00B56CAB" w:rsidRDefault="00B56CAB" w:rsidP="00B56CAB">
      <w:pPr>
        <w:pStyle w:val="ListParagraph"/>
        <w:spacing w:before="0" w:line="240" w:lineRule="auto"/>
      </w:pPr>
    </w:p>
    <w:p w14:paraId="1AB27DA7" w14:textId="46C267EA" w:rsidR="00362D78" w:rsidRPr="00B16834" w:rsidRDefault="003E790A" w:rsidP="00BD1EEB">
      <w:pPr>
        <w:pStyle w:val="ListParagraph"/>
        <w:numPr>
          <w:ilvl w:val="0"/>
          <w:numId w:val="11"/>
        </w:numPr>
        <w:spacing w:before="0" w:line="240" w:lineRule="auto"/>
      </w:pPr>
      <w:r>
        <w:t xml:space="preserve">At the start of each academic year, the </w:t>
      </w:r>
      <w:r w:rsidR="00B30901">
        <w:t xml:space="preserve">QAE and </w:t>
      </w:r>
      <w:r w:rsidR="004B6118">
        <w:t>Course and Student Administration</w:t>
      </w:r>
      <w:r>
        <w:t xml:space="preserve"> team</w:t>
      </w:r>
      <w:r w:rsidR="004B6118">
        <w:t>s</w:t>
      </w:r>
      <w:r>
        <w:t xml:space="preserve"> will assign </w:t>
      </w:r>
      <w:r w:rsidR="00B30901">
        <w:t>Apprenticeship</w:t>
      </w:r>
      <w:r>
        <w:t xml:space="preserve"> external examiners to </w:t>
      </w:r>
      <w:r w:rsidR="00FE2DF9">
        <w:t>Apprenticeship Monitoring Committee (AMC) meetings</w:t>
      </w:r>
      <w:r>
        <w:t xml:space="preserve"> for that year. </w:t>
      </w:r>
    </w:p>
    <w:p w14:paraId="2939371F" w14:textId="77777777" w:rsidR="00B56CAB" w:rsidRDefault="00B56CAB" w:rsidP="00BD1EEB">
      <w:pPr>
        <w:pStyle w:val="Heading3"/>
      </w:pPr>
      <w:bookmarkStart w:id="42" w:name="_Toc97630769"/>
    </w:p>
    <w:p w14:paraId="5A5547D9" w14:textId="21E6AAF5" w:rsidR="00441B69" w:rsidRPr="00B16834" w:rsidRDefault="009B290D" w:rsidP="00BD1EEB">
      <w:pPr>
        <w:pStyle w:val="Heading3"/>
      </w:pPr>
      <w:bookmarkStart w:id="43" w:name="_Toc203731660"/>
      <w:r>
        <w:t>Conflicts of Interest</w:t>
      </w:r>
      <w:bookmarkEnd w:id="42"/>
      <w:bookmarkEnd w:id="43"/>
    </w:p>
    <w:p w14:paraId="5317558E" w14:textId="139FDB71" w:rsidR="00C8311C" w:rsidRDefault="00AC2763" w:rsidP="00BD1EEB">
      <w:pPr>
        <w:pStyle w:val="ListParagraph"/>
        <w:numPr>
          <w:ilvl w:val="0"/>
          <w:numId w:val="11"/>
        </w:numPr>
        <w:spacing w:before="0" w:line="240" w:lineRule="auto"/>
      </w:pPr>
      <w:r>
        <w:t>All</w:t>
      </w:r>
      <w:r w:rsidR="009B290D" w:rsidRPr="009B290D">
        <w:t xml:space="preserve"> </w:t>
      </w:r>
      <w:r>
        <w:t>e</w:t>
      </w:r>
      <w:r w:rsidR="009B290D" w:rsidRPr="009B290D">
        <w:t>xternal examiners should be impartial in judgement and should not have previous close involvement with the University which might compromise objectivity.</w:t>
      </w:r>
    </w:p>
    <w:p w14:paraId="2B6304EC" w14:textId="77777777" w:rsidR="00B56CAB" w:rsidRDefault="00B56CAB" w:rsidP="00B815B9">
      <w:pPr>
        <w:pStyle w:val="ListParagraph"/>
        <w:spacing w:before="0" w:line="240" w:lineRule="auto"/>
      </w:pPr>
    </w:p>
    <w:p w14:paraId="30CEF7D5" w14:textId="58C44102" w:rsidR="009B290D" w:rsidRDefault="009B290D" w:rsidP="00BD1EEB">
      <w:pPr>
        <w:pStyle w:val="ListParagraph"/>
        <w:numPr>
          <w:ilvl w:val="0"/>
          <w:numId w:val="11"/>
        </w:numPr>
        <w:spacing w:before="0" w:line="240" w:lineRule="auto"/>
      </w:pPr>
      <w:r w:rsidRPr="00461C65">
        <w:t xml:space="preserve">Therefore, the University will not </w:t>
      </w:r>
      <w:r w:rsidR="00FA4715">
        <w:t xml:space="preserve">normally </w:t>
      </w:r>
      <w:r w:rsidRPr="00461C65">
        <w:t>appoint as external examiners anyone in the following categories/</w:t>
      </w:r>
      <w:r w:rsidR="00A31CC5">
        <w:t xml:space="preserve"> </w:t>
      </w:r>
      <w:r w:rsidRPr="00461C65">
        <w:t>circumstances</w:t>
      </w:r>
      <w:r w:rsidRPr="009B290D">
        <w:t>:</w:t>
      </w:r>
    </w:p>
    <w:p w14:paraId="7184B0C4" w14:textId="04B54732" w:rsidR="009B290D" w:rsidRPr="009B290D" w:rsidRDefault="009B290D" w:rsidP="00BD1EEB">
      <w:pPr>
        <w:pStyle w:val="ListParagraph"/>
        <w:numPr>
          <w:ilvl w:val="0"/>
          <w:numId w:val="6"/>
        </w:numPr>
        <w:spacing w:before="0" w:line="240" w:lineRule="auto"/>
      </w:pPr>
      <w:r w:rsidRPr="009B290D">
        <w:t xml:space="preserve">a member of the governing body at the University or one of its partners, delivery organisations or support providers, or a current employee of the </w:t>
      </w:r>
      <w:r w:rsidR="00575637">
        <w:t>University</w:t>
      </w:r>
      <w:r w:rsidRPr="009B290D">
        <w:t xml:space="preserve"> or one of its </w:t>
      </w:r>
      <w:proofErr w:type="gramStart"/>
      <w:r w:rsidRPr="009B290D">
        <w:t>partners;</w:t>
      </w:r>
      <w:proofErr w:type="gramEnd"/>
      <w:r w:rsidRPr="009B290D">
        <w:t xml:space="preserve"> </w:t>
      </w:r>
    </w:p>
    <w:p w14:paraId="231A466C" w14:textId="13A3C9FC" w:rsidR="009B290D" w:rsidRPr="009B290D" w:rsidRDefault="009B290D" w:rsidP="00BD1EEB">
      <w:pPr>
        <w:pStyle w:val="ListParagraph"/>
        <w:numPr>
          <w:ilvl w:val="0"/>
          <w:numId w:val="6"/>
        </w:numPr>
        <w:spacing w:before="0" w:line="240" w:lineRule="auto"/>
      </w:pPr>
      <w:r w:rsidRPr="009B290D">
        <w:t xml:space="preserve">anyone with a </w:t>
      </w:r>
      <w:r w:rsidR="00194BF7" w:rsidRPr="009B290D">
        <w:t>close contractual</w:t>
      </w:r>
      <w:r w:rsidRPr="009B290D">
        <w:t xml:space="preserve"> or personal relationship with a member of staff or student involved with the programme of </w:t>
      </w:r>
      <w:proofErr w:type="gramStart"/>
      <w:r w:rsidRPr="009B290D">
        <w:t>study;</w:t>
      </w:r>
      <w:proofErr w:type="gramEnd"/>
      <w:r w:rsidRPr="009B290D">
        <w:t xml:space="preserve"> </w:t>
      </w:r>
    </w:p>
    <w:p w14:paraId="78C2C06D" w14:textId="4740A9CB" w:rsidR="009B290D" w:rsidRPr="009B290D" w:rsidRDefault="009B290D" w:rsidP="00BD1EEB">
      <w:pPr>
        <w:pStyle w:val="ListParagraph"/>
        <w:numPr>
          <w:ilvl w:val="0"/>
          <w:numId w:val="6"/>
        </w:numPr>
        <w:spacing w:before="0" w:line="240" w:lineRule="auto"/>
      </w:pPr>
      <w:r w:rsidRPr="009B290D">
        <w:t xml:space="preserve">anyone who is, or knows they will be, in a position to influence significantly the future of students on the programme of </w:t>
      </w:r>
      <w:proofErr w:type="gramStart"/>
      <w:r w:rsidRPr="009B290D">
        <w:t>study;</w:t>
      </w:r>
      <w:proofErr w:type="gramEnd"/>
      <w:r w:rsidRPr="009B290D">
        <w:t xml:space="preserve"> </w:t>
      </w:r>
    </w:p>
    <w:p w14:paraId="24E3433B" w14:textId="16AEECB2" w:rsidR="0046629C" w:rsidRDefault="009B290D" w:rsidP="00BD1EEB">
      <w:pPr>
        <w:pStyle w:val="ListParagraph"/>
        <w:numPr>
          <w:ilvl w:val="0"/>
          <w:numId w:val="6"/>
        </w:numPr>
        <w:spacing w:before="0" w:line="240" w:lineRule="auto"/>
      </w:pPr>
      <w:r w:rsidRPr="009B290D">
        <w:t xml:space="preserve">anyone significantly involved in recent or current substantive collaborative research activities with a member of staff </w:t>
      </w:r>
      <w:r w:rsidRPr="0046629C">
        <w:t>closely involved in the delivery, management or assessment of the programme(s) or modules in question</w:t>
      </w:r>
      <w:r w:rsidR="0046629C">
        <w:t xml:space="preserve"> (subject external examiners only</w:t>
      </w:r>
      <w:proofErr w:type="gramStart"/>
      <w:r w:rsidR="0046629C">
        <w:t>)</w:t>
      </w:r>
      <w:r w:rsidRPr="0046629C">
        <w:t>;</w:t>
      </w:r>
      <w:proofErr w:type="gramEnd"/>
      <w:r w:rsidRPr="009B290D">
        <w:t xml:space="preserve"> </w:t>
      </w:r>
    </w:p>
    <w:p w14:paraId="01BA282F" w14:textId="067CBC39" w:rsidR="009B290D" w:rsidRPr="009B290D" w:rsidRDefault="0046629C" w:rsidP="00BD1EEB">
      <w:pPr>
        <w:pStyle w:val="ListParagraph"/>
        <w:numPr>
          <w:ilvl w:val="0"/>
          <w:numId w:val="6"/>
        </w:numPr>
        <w:spacing w:before="0" w:line="240" w:lineRule="auto"/>
      </w:pPr>
      <w:r w:rsidRPr="009B290D">
        <w:t xml:space="preserve">anyone significantly involved in recent or current substantive collaborative research activities with a member of staff </w:t>
      </w:r>
      <w:r>
        <w:t>(PAB</w:t>
      </w:r>
      <w:r w:rsidR="00F26C62">
        <w:t xml:space="preserve">/ </w:t>
      </w:r>
      <w:r w:rsidR="006C5BB9">
        <w:t>HDA</w:t>
      </w:r>
      <w:r>
        <w:t xml:space="preserve"> external examiners only</w:t>
      </w:r>
      <w:proofErr w:type="gramStart"/>
      <w:r w:rsidR="00D3160C">
        <w:t>);</w:t>
      </w:r>
      <w:proofErr w:type="gramEnd"/>
    </w:p>
    <w:p w14:paraId="51089DD0" w14:textId="07815A43" w:rsidR="009B290D" w:rsidRPr="009B290D" w:rsidRDefault="009B290D" w:rsidP="00BD1EEB">
      <w:pPr>
        <w:pStyle w:val="ListParagraph"/>
        <w:numPr>
          <w:ilvl w:val="0"/>
          <w:numId w:val="6"/>
        </w:numPr>
        <w:spacing w:before="0" w:line="240" w:lineRule="auto"/>
      </w:pPr>
      <w:r w:rsidRPr="009B290D">
        <w:t xml:space="preserve">former staff or student </w:t>
      </w:r>
      <w:proofErr w:type="gramStart"/>
      <w:r w:rsidRPr="009B290D">
        <w:t>of</w:t>
      </w:r>
      <w:proofErr w:type="gramEnd"/>
      <w:r w:rsidRPr="009B290D">
        <w:t xml:space="preserve"> the University unless a period of five years has elapsed and all students taught by or with the </w:t>
      </w:r>
      <w:r w:rsidR="0032123F">
        <w:t>nominee</w:t>
      </w:r>
      <w:r w:rsidRPr="009B290D">
        <w:t xml:space="preserve"> have completed their programme(s);</w:t>
      </w:r>
    </w:p>
    <w:p w14:paraId="4556F5C0" w14:textId="66E76948" w:rsidR="00866C62" w:rsidRDefault="009B290D" w:rsidP="00BD1EEB">
      <w:pPr>
        <w:pStyle w:val="ListParagraph"/>
        <w:numPr>
          <w:ilvl w:val="0"/>
          <w:numId w:val="6"/>
        </w:numPr>
        <w:spacing w:before="0" w:line="240" w:lineRule="auto"/>
      </w:pPr>
      <w:r w:rsidRPr="009B290D">
        <w:t xml:space="preserve">more than one </w:t>
      </w:r>
      <w:r w:rsidR="00461C65">
        <w:t xml:space="preserve">subject external </w:t>
      </w:r>
      <w:r w:rsidRPr="009B290D">
        <w:t xml:space="preserve">examiner from the same department of </w:t>
      </w:r>
      <w:r w:rsidRPr="009B290D">
        <w:lastRenderedPageBreak/>
        <w:t xml:space="preserve">the same </w:t>
      </w:r>
      <w:proofErr w:type="gramStart"/>
      <w:r w:rsidRPr="009B290D">
        <w:t>institution;</w:t>
      </w:r>
      <w:proofErr w:type="gramEnd"/>
      <w:r w:rsidRPr="009B290D">
        <w:t xml:space="preserve"> </w:t>
      </w:r>
    </w:p>
    <w:p w14:paraId="54501F29" w14:textId="05CB79D6" w:rsidR="00C47B10" w:rsidRPr="00516A66" w:rsidRDefault="00C47B10" w:rsidP="00BD1EEB">
      <w:pPr>
        <w:pStyle w:val="ListParagraph"/>
        <w:numPr>
          <w:ilvl w:val="0"/>
          <w:numId w:val="6"/>
        </w:numPr>
        <w:spacing w:before="0" w:line="240" w:lineRule="auto"/>
      </w:pPr>
      <w:r w:rsidRPr="002703E1">
        <w:t xml:space="preserve">a </w:t>
      </w:r>
      <w:r w:rsidR="00C27730" w:rsidRPr="002703E1">
        <w:t>replacement subject external examiner from</w:t>
      </w:r>
      <w:r w:rsidRPr="002703E1">
        <w:t xml:space="preserve"> </w:t>
      </w:r>
      <w:r w:rsidR="00C27730" w:rsidRPr="002703E1">
        <w:t>an</w:t>
      </w:r>
      <w:r w:rsidRPr="002703E1">
        <w:t xml:space="preserve"> institution </w:t>
      </w:r>
      <w:r w:rsidR="00C27730" w:rsidRPr="002703E1">
        <w:t>that</w:t>
      </w:r>
      <w:r w:rsidRPr="002703E1">
        <w:t xml:space="preserve"> has been the source of </w:t>
      </w:r>
      <w:r w:rsidR="00C27730" w:rsidRPr="002703E1">
        <w:t>subject</w:t>
      </w:r>
      <w:r w:rsidRPr="002703E1">
        <w:t xml:space="preserve"> external examiners for that subject area in the last </w:t>
      </w:r>
      <w:r w:rsidR="00AE4F4A">
        <w:t>six</w:t>
      </w:r>
      <w:r w:rsidRPr="002703E1">
        <w:t xml:space="preserve"> </w:t>
      </w:r>
      <w:proofErr w:type="gramStart"/>
      <w:r w:rsidRPr="002703E1">
        <w:t>years;</w:t>
      </w:r>
      <w:proofErr w:type="gramEnd"/>
      <w:r w:rsidRPr="002703E1">
        <w:t xml:space="preserve"> </w:t>
      </w:r>
    </w:p>
    <w:p w14:paraId="654AC0EE" w14:textId="501592CD" w:rsidR="0046629C" w:rsidRDefault="008942E3" w:rsidP="00BD1EEB">
      <w:pPr>
        <w:pStyle w:val="ListParagraph"/>
        <w:numPr>
          <w:ilvl w:val="0"/>
          <w:numId w:val="6"/>
        </w:numPr>
        <w:spacing w:before="0" w:line="240" w:lineRule="auto"/>
      </w:pPr>
      <w:r w:rsidRPr="002703E1">
        <w:t>a replacement PAB</w:t>
      </w:r>
      <w:r w:rsidR="00EA5D4B">
        <w:t xml:space="preserve">/ </w:t>
      </w:r>
      <w:r w:rsidR="009D4EC0">
        <w:t xml:space="preserve">HDA </w:t>
      </w:r>
      <w:r w:rsidR="00C47B10" w:rsidRPr="002703E1">
        <w:t xml:space="preserve">external examiner </w:t>
      </w:r>
      <w:r w:rsidR="006451D8" w:rsidRPr="002703E1">
        <w:t>from</w:t>
      </w:r>
      <w:r w:rsidR="006451D8" w:rsidRPr="002703E1">
        <w:rPr>
          <w:lang w:eastAsia="en-GB"/>
        </w:rPr>
        <w:t xml:space="preserve"> </w:t>
      </w:r>
      <w:r w:rsidR="006451D8" w:rsidRPr="002703E1">
        <w:t>an</w:t>
      </w:r>
      <w:r w:rsidR="006451D8" w:rsidRPr="002703E1">
        <w:rPr>
          <w:lang w:eastAsia="en-GB"/>
        </w:rPr>
        <w:t xml:space="preserve"> institution </w:t>
      </w:r>
      <w:r w:rsidRPr="002703E1">
        <w:t xml:space="preserve">that has </w:t>
      </w:r>
      <w:r w:rsidR="00C47B10" w:rsidRPr="002703E1">
        <w:t xml:space="preserve">been the source of </w:t>
      </w:r>
      <w:r w:rsidRPr="002703E1">
        <w:t>PAB</w:t>
      </w:r>
      <w:r w:rsidR="00EA5D4B">
        <w:t xml:space="preserve">/ </w:t>
      </w:r>
      <w:r w:rsidR="009D4EC0">
        <w:t xml:space="preserve">HDA </w:t>
      </w:r>
      <w:r w:rsidR="00C47B10" w:rsidRPr="002703E1">
        <w:t xml:space="preserve">external examiners in the last </w:t>
      </w:r>
      <w:r w:rsidR="00C7702F">
        <w:t>six</w:t>
      </w:r>
      <w:r w:rsidR="00C7702F" w:rsidRPr="002703E1">
        <w:t xml:space="preserve"> </w:t>
      </w:r>
      <w:proofErr w:type="gramStart"/>
      <w:r w:rsidR="00C47B10" w:rsidRPr="002703E1">
        <w:t>years</w:t>
      </w:r>
      <w:r w:rsidR="009B6C52" w:rsidRPr="002703E1">
        <w:t>;</w:t>
      </w:r>
      <w:proofErr w:type="gramEnd"/>
    </w:p>
    <w:p w14:paraId="00F7D6D9" w14:textId="66AD9245" w:rsidR="00461C65" w:rsidRDefault="00461C65" w:rsidP="00BD1EEB">
      <w:pPr>
        <w:pStyle w:val="ListParagraph"/>
        <w:numPr>
          <w:ilvl w:val="0"/>
          <w:numId w:val="6"/>
        </w:numPr>
        <w:spacing w:before="0" w:line="240" w:lineRule="auto"/>
      </w:pPr>
      <w:r w:rsidRPr="00461C65">
        <w:t>more than one PAB</w:t>
      </w:r>
      <w:r w:rsidR="00EA5D4B">
        <w:t xml:space="preserve">/ </w:t>
      </w:r>
      <w:r w:rsidR="009D4EC0">
        <w:t>HDA</w:t>
      </w:r>
      <w:r w:rsidRPr="00461C65">
        <w:t xml:space="preserve"> external examiner from the same </w:t>
      </w:r>
      <w:proofErr w:type="gramStart"/>
      <w:r w:rsidRPr="00461C65">
        <w:t>institution;</w:t>
      </w:r>
      <w:proofErr w:type="gramEnd"/>
    </w:p>
    <w:p w14:paraId="47020CD4" w14:textId="55DA0937" w:rsidR="00236CA8" w:rsidRDefault="00461C65" w:rsidP="00BD1EEB">
      <w:pPr>
        <w:pStyle w:val="ListParagraph"/>
        <w:numPr>
          <w:ilvl w:val="0"/>
          <w:numId w:val="6"/>
        </w:numPr>
        <w:spacing w:before="0" w:line="240" w:lineRule="auto"/>
      </w:pPr>
      <w:r w:rsidRPr="00236CA8">
        <w:t xml:space="preserve">reciprocal subject external examining of cognate programmes between KU and the nominee’s employing </w:t>
      </w:r>
      <w:proofErr w:type="gramStart"/>
      <w:r w:rsidRPr="00236CA8">
        <w:t>organisation;</w:t>
      </w:r>
      <w:proofErr w:type="gramEnd"/>
    </w:p>
    <w:p w14:paraId="59037A4A" w14:textId="7BDA7A8D" w:rsidR="009B290D" w:rsidRPr="009B290D" w:rsidRDefault="00236CA8" w:rsidP="00BD1EEB">
      <w:pPr>
        <w:pStyle w:val="ListParagraph"/>
        <w:numPr>
          <w:ilvl w:val="0"/>
          <w:numId w:val="6"/>
        </w:numPr>
        <w:spacing w:before="0" w:line="240" w:lineRule="auto"/>
      </w:pPr>
      <w:r w:rsidRPr="00236CA8">
        <w:t>reciprocal PAB</w:t>
      </w:r>
      <w:r w:rsidR="00EA5D4B">
        <w:t xml:space="preserve">/ </w:t>
      </w:r>
      <w:r w:rsidR="00D83411">
        <w:t>HDA</w:t>
      </w:r>
      <w:r w:rsidRPr="00236CA8">
        <w:t xml:space="preserve"> external examining between KU and the nominee’s employing </w:t>
      </w:r>
      <w:proofErr w:type="gramStart"/>
      <w:r w:rsidRPr="00236CA8">
        <w:t>organisation;</w:t>
      </w:r>
      <w:proofErr w:type="gramEnd"/>
    </w:p>
    <w:p w14:paraId="0708E282" w14:textId="557D3B16" w:rsidR="00461C65" w:rsidRDefault="009B290D" w:rsidP="00BD1EEB">
      <w:pPr>
        <w:pStyle w:val="ListParagraph"/>
        <w:numPr>
          <w:ilvl w:val="0"/>
          <w:numId w:val="6"/>
        </w:numPr>
        <w:spacing w:before="0" w:line="240" w:lineRule="auto"/>
      </w:pPr>
      <w:r w:rsidRPr="009B290D">
        <w:t>replacement of a</w:t>
      </w:r>
      <w:r w:rsidR="00461C65">
        <w:t xml:space="preserve"> subject</w:t>
      </w:r>
      <w:r w:rsidRPr="009B290D">
        <w:t xml:space="preserve"> external examiner by an individual from the same department and institution.</w:t>
      </w:r>
    </w:p>
    <w:p w14:paraId="6E78F41F" w14:textId="77777777" w:rsidR="00B815B9" w:rsidRDefault="00B815B9" w:rsidP="00B815B9">
      <w:pPr>
        <w:pStyle w:val="ListParagraph"/>
        <w:spacing w:before="0" w:line="240" w:lineRule="auto"/>
      </w:pPr>
    </w:p>
    <w:p w14:paraId="0E22EC9A" w14:textId="6BBDA223" w:rsidR="00FA4715" w:rsidRDefault="00FA4715" w:rsidP="00BD1EEB">
      <w:pPr>
        <w:pStyle w:val="ListParagraph"/>
        <w:numPr>
          <w:ilvl w:val="0"/>
          <w:numId w:val="11"/>
        </w:numPr>
        <w:spacing w:before="0" w:line="240" w:lineRule="auto"/>
      </w:pPr>
      <w:r>
        <w:t xml:space="preserve">Exceptionally </w:t>
      </w:r>
      <w:r w:rsidR="00F0518E">
        <w:t xml:space="preserve">there may be </w:t>
      </w:r>
      <w:r w:rsidR="004155A4">
        <w:t xml:space="preserve">occasions where all the above criteria cannot be met. </w:t>
      </w:r>
      <w:r w:rsidR="00884B04">
        <w:t>Requests for any variations from the above criteria must be discussed with and approved by the Head of Quality Assurance and Enhancement.</w:t>
      </w:r>
      <w:r w:rsidR="004155A4">
        <w:t xml:space="preserve"> </w:t>
      </w:r>
    </w:p>
    <w:p w14:paraId="1E19FB15" w14:textId="77777777" w:rsidR="00884B04" w:rsidRDefault="00884B04" w:rsidP="00884B04">
      <w:pPr>
        <w:pStyle w:val="ListParagraph"/>
        <w:spacing w:before="0" w:line="240" w:lineRule="auto"/>
      </w:pPr>
    </w:p>
    <w:p w14:paraId="4BAECCD9" w14:textId="51704DC0" w:rsidR="000F7CDD" w:rsidRPr="00516A66" w:rsidRDefault="000F7CDD" w:rsidP="00BD1EEB">
      <w:pPr>
        <w:pStyle w:val="ListParagraph"/>
        <w:numPr>
          <w:ilvl w:val="0"/>
          <w:numId w:val="11"/>
        </w:numPr>
        <w:spacing w:before="0" w:line="240" w:lineRule="auto"/>
      </w:pPr>
      <w:r w:rsidRPr="000F7CDD">
        <w:t>A</w:t>
      </w:r>
      <w:r w:rsidR="0016359C">
        <w:t>n</w:t>
      </w:r>
      <w:r w:rsidR="00236CA8">
        <w:t xml:space="preserve"> </w:t>
      </w:r>
      <w:r w:rsidRPr="000F7CDD">
        <w:t xml:space="preserve">external examiner should not be over-extended by </w:t>
      </w:r>
      <w:r w:rsidR="00236CA8">
        <w:t>their</w:t>
      </w:r>
      <w:r w:rsidRPr="000F7CDD">
        <w:t xml:space="preserve"> external examining duties</w:t>
      </w:r>
      <w:r w:rsidR="00675C0E">
        <w:t>. T</w:t>
      </w:r>
      <w:r w:rsidRPr="000F7CDD">
        <w:t>herefore</w:t>
      </w:r>
      <w:r w:rsidR="00675C0E">
        <w:t>,</w:t>
      </w:r>
      <w:r w:rsidRPr="000F7CDD">
        <w:t xml:space="preserve"> </w:t>
      </w:r>
      <w:r w:rsidR="00675C0E">
        <w:t xml:space="preserve">a subject external </w:t>
      </w:r>
      <w:r w:rsidRPr="000F7CDD">
        <w:t xml:space="preserve">examiner should not hold more than two external examiner appointments </w:t>
      </w:r>
      <w:r w:rsidR="00DB73F2">
        <w:t>(including their appointment at K</w:t>
      </w:r>
      <w:r w:rsidR="00AE4F4A">
        <w:t>U</w:t>
      </w:r>
      <w:r w:rsidR="00DB73F2">
        <w:t xml:space="preserve">) </w:t>
      </w:r>
      <w:r w:rsidRPr="000F7CDD">
        <w:t>at any point in time</w:t>
      </w:r>
      <w:r w:rsidR="00675C0E">
        <w:t xml:space="preserve"> and a PAB</w:t>
      </w:r>
      <w:r w:rsidR="0016359C">
        <w:t>/ HDA</w:t>
      </w:r>
      <w:r w:rsidR="00675C0E">
        <w:t xml:space="preserve"> external examiner should not hold more than three appointments </w:t>
      </w:r>
      <w:r w:rsidR="00AE4F4A">
        <w:t xml:space="preserve">(including their appointment at KU) </w:t>
      </w:r>
      <w:r w:rsidR="00675C0E">
        <w:t>at any point in time</w:t>
      </w:r>
      <w:r w:rsidRPr="000F7CDD">
        <w:t xml:space="preserve">. If the examiner appears to exceed this norm, the proposer must provide supporting information on the nomination form. For example, that the phasing of assessments alleviates the workload during </w:t>
      </w:r>
      <w:r w:rsidR="00293150">
        <w:t>peak auditing periods</w:t>
      </w:r>
      <w:r w:rsidRPr="000F7CDD">
        <w:t>.</w:t>
      </w:r>
    </w:p>
    <w:p w14:paraId="221043C6" w14:textId="77777777" w:rsidR="00B815B9" w:rsidRDefault="00B815B9" w:rsidP="00B815B9">
      <w:pPr>
        <w:pStyle w:val="ListParagraph"/>
        <w:spacing w:before="0" w:line="240" w:lineRule="auto"/>
      </w:pPr>
    </w:p>
    <w:p w14:paraId="60B68FAB" w14:textId="645CD71E" w:rsidR="002A279E" w:rsidRPr="00516A66" w:rsidRDefault="002D16F0" w:rsidP="00BD1EEB">
      <w:pPr>
        <w:pStyle w:val="ListParagraph"/>
        <w:numPr>
          <w:ilvl w:val="0"/>
          <w:numId w:val="11"/>
        </w:numPr>
        <w:spacing w:before="0" w:line="240" w:lineRule="auto"/>
      </w:pPr>
      <w:r w:rsidRPr="002D16F0">
        <w:t>External examiners may be used in an external panel member</w:t>
      </w:r>
      <w:r w:rsidR="00B10B69">
        <w:t xml:space="preserve"> or external subject expert </w:t>
      </w:r>
      <w:r w:rsidRPr="002D16F0">
        <w:t>capacity for some validation</w:t>
      </w:r>
      <w:r w:rsidR="003B0EDA">
        <w:t>/ enhanced CMMP</w:t>
      </w:r>
      <w:r w:rsidRPr="002D16F0">
        <w:t xml:space="preserve"> activity</w:t>
      </w:r>
      <w:r w:rsidR="00293150">
        <w:t xml:space="preserve"> and</w:t>
      </w:r>
      <w:r w:rsidR="002952ED">
        <w:t>/ or</w:t>
      </w:r>
      <w:r w:rsidR="00293150">
        <w:t xml:space="preserve"> substantive review events</w:t>
      </w:r>
      <w:r w:rsidRPr="002D16F0">
        <w:t>, subject to approval by the Head of Quality Assurance &amp; Enhancement.</w:t>
      </w:r>
      <w:r w:rsidR="00CA1DD3">
        <w:t xml:space="preserve"> </w:t>
      </w:r>
      <w:r w:rsidR="00CA1DD3" w:rsidRPr="00DA526D">
        <w:t xml:space="preserve">To remain independent and impartial, an external examiner should not undertake any </w:t>
      </w:r>
      <w:r w:rsidR="00CA1DD3">
        <w:t xml:space="preserve">other </w:t>
      </w:r>
      <w:r w:rsidR="00CA1DD3" w:rsidRPr="00DA526D">
        <w:t xml:space="preserve">additional work for the University, which is not within the remit of their external examiner role. </w:t>
      </w:r>
      <w:r w:rsidR="004809F7">
        <w:t xml:space="preserve"> </w:t>
      </w:r>
      <w:r w:rsidR="00DB4CA9" w:rsidRPr="00DA526D">
        <w:t>If an</w:t>
      </w:r>
      <w:r w:rsidR="00F76F91" w:rsidRPr="00DA526D">
        <w:t xml:space="preserve"> external examiner undertakes </w:t>
      </w:r>
      <w:r w:rsidR="00DB4CA9" w:rsidRPr="00DA526D">
        <w:t>any</w:t>
      </w:r>
      <w:r w:rsidR="00F76F91" w:rsidRPr="00DA526D">
        <w:t xml:space="preserve"> additional work </w:t>
      </w:r>
      <w:r w:rsidR="00DB4CA9" w:rsidRPr="00DA526D">
        <w:t>for the University that is outside of their remit</w:t>
      </w:r>
      <w:r w:rsidR="004809F7">
        <w:t xml:space="preserve"> without approval by the Head of QAE</w:t>
      </w:r>
      <w:r w:rsidR="00DB4CA9" w:rsidRPr="00DA526D">
        <w:t xml:space="preserve"> their appointment may be terminated. </w:t>
      </w:r>
    </w:p>
    <w:p w14:paraId="06376783" w14:textId="77777777" w:rsidR="00B815B9" w:rsidRDefault="00B815B9" w:rsidP="00B815B9">
      <w:pPr>
        <w:pStyle w:val="ListParagraph"/>
        <w:spacing w:before="0" w:line="240" w:lineRule="auto"/>
      </w:pPr>
    </w:p>
    <w:p w14:paraId="6198542C" w14:textId="6504DA4B" w:rsidR="002A279E" w:rsidRDefault="000F7CDD" w:rsidP="00BD1EEB">
      <w:pPr>
        <w:pStyle w:val="ListParagraph"/>
        <w:numPr>
          <w:ilvl w:val="0"/>
          <w:numId w:val="11"/>
        </w:numPr>
        <w:spacing w:before="0" w:line="240" w:lineRule="auto"/>
      </w:pPr>
      <w:r w:rsidRPr="000F7CDD">
        <w:t>An external examiner may be reappointed but only after a period of five years or more has elapsed since their last appointment.</w:t>
      </w:r>
    </w:p>
    <w:p w14:paraId="61481CC1" w14:textId="77777777" w:rsidR="00B815B9" w:rsidRDefault="00B815B9" w:rsidP="00BD1EEB">
      <w:pPr>
        <w:pStyle w:val="Heading3"/>
      </w:pPr>
      <w:bookmarkStart w:id="44" w:name="_Toc97630770"/>
    </w:p>
    <w:p w14:paraId="32B46379" w14:textId="77777777" w:rsidR="00B815B9" w:rsidRDefault="00B815B9" w:rsidP="00BD1EEB">
      <w:pPr>
        <w:pStyle w:val="Heading3"/>
      </w:pPr>
      <w:bookmarkStart w:id="45" w:name="_Toc97630771"/>
      <w:bookmarkEnd w:id="44"/>
    </w:p>
    <w:p w14:paraId="011BCB6D" w14:textId="26840B5B" w:rsidR="008A0FF9" w:rsidRDefault="004506FC" w:rsidP="00BD1EEB">
      <w:pPr>
        <w:pStyle w:val="Heading3"/>
      </w:pPr>
      <w:bookmarkStart w:id="46" w:name="_Toc203731661"/>
      <w:r>
        <w:t>Termination of Appointment</w:t>
      </w:r>
      <w:bookmarkEnd w:id="45"/>
      <w:bookmarkEnd w:id="46"/>
    </w:p>
    <w:p w14:paraId="5E043613" w14:textId="031159DF" w:rsidR="00B815B9" w:rsidRDefault="00290CAD" w:rsidP="00B815B9">
      <w:pPr>
        <w:pStyle w:val="ListParagraph"/>
        <w:numPr>
          <w:ilvl w:val="0"/>
          <w:numId w:val="11"/>
        </w:numPr>
        <w:spacing w:before="0" w:line="240" w:lineRule="auto"/>
      </w:pPr>
      <w:r w:rsidRPr="00B16834">
        <w:t>The University has the right to terminate the appointment of an external examiner for failure to fulfil contractual duties, in the event of a course closure or where the examiner relocates abroad.</w:t>
      </w:r>
      <w:r w:rsidR="00EC5BFB">
        <w:t xml:space="preserve"> </w:t>
      </w:r>
      <w:r w:rsidRPr="00B16834">
        <w:t xml:space="preserve">Concerns about the effectiveness of an external examiner may arise from time to time and derive from a variety of sources: audit of </w:t>
      </w:r>
      <w:r>
        <w:t xml:space="preserve">annual </w:t>
      </w:r>
      <w:r w:rsidRPr="00B16834">
        <w:t>reports by QAE, chairs of assessment boards and assessment board monitors</w:t>
      </w:r>
      <w:r w:rsidR="009A716E" w:rsidRPr="00B16834">
        <w:t xml:space="preserve">. </w:t>
      </w:r>
      <w:r w:rsidRPr="00B16834">
        <w:t>If alerted in this respect, the relevant Head of Department/School</w:t>
      </w:r>
      <w:r w:rsidRPr="00B16834">
        <w:fldChar w:fldCharType="begin"/>
      </w:r>
      <w:r w:rsidRPr="00B16834">
        <w:instrText xml:space="preserve"> XE "Head of School:HoS" </w:instrText>
      </w:r>
      <w:r w:rsidRPr="00B16834">
        <w:fldChar w:fldCharType="end"/>
      </w:r>
      <w:r w:rsidRPr="00B16834">
        <w:t xml:space="preserve"> (for subject external examiners) or QAE (for PAB</w:t>
      </w:r>
      <w:r>
        <w:t xml:space="preserve">/ </w:t>
      </w:r>
      <w:r w:rsidR="00B82BAB">
        <w:t>HDA</w:t>
      </w:r>
      <w:r w:rsidRPr="00B16834">
        <w:t xml:space="preserve"> </w:t>
      </w:r>
      <w:r w:rsidRPr="00B16834">
        <w:lastRenderedPageBreak/>
        <w:t>external examiners) should discuss the issue(s) of concern with the external examiner</w:t>
      </w:r>
      <w:r w:rsidR="009A716E" w:rsidRPr="00B16834">
        <w:t xml:space="preserve">. </w:t>
      </w:r>
      <w:r w:rsidRPr="00B16834">
        <w:t xml:space="preserve">If concerns persist, a recommendation (with a clear rationale) for the </w:t>
      </w:r>
      <w:r>
        <w:t xml:space="preserve">early </w:t>
      </w:r>
      <w:r w:rsidRPr="00B16834">
        <w:t>termination of the external examiner’s appointment</w:t>
      </w:r>
      <w:r>
        <w:t xml:space="preserve"> should be submitted to the Head of QAE. </w:t>
      </w:r>
      <w:r w:rsidRPr="00B16834">
        <w:t>A termination of appointment may only be authorised by the Pro Vice-Chancellor</w:t>
      </w:r>
      <w:r w:rsidRPr="00B16834">
        <w:fldChar w:fldCharType="begin"/>
      </w:r>
      <w:r w:rsidRPr="00B16834">
        <w:instrText xml:space="preserve"> XE "Vice-Chancellor:VC" </w:instrText>
      </w:r>
      <w:r w:rsidRPr="00B16834">
        <w:fldChar w:fldCharType="end"/>
      </w:r>
      <w:r w:rsidRPr="00B16834">
        <w:fldChar w:fldCharType="begin"/>
      </w:r>
      <w:r w:rsidRPr="00B16834">
        <w:instrText xml:space="preserve"> XE "Vice-Chancellor:VC" </w:instrText>
      </w:r>
      <w:r w:rsidRPr="00B16834">
        <w:fldChar w:fldCharType="end"/>
      </w:r>
      <w:r w:rsidRPr="00B16834">
        <w:t xml:space="preserve"> (Education).</w:t>
      </w:r>
      <w:r>
        <w:t xml:space="preserve"> Upon termination of the appointment, a</w:t>
      </w:r>
      <w:r w:rsidRPr="00B16834">
        <w:t xml:space="preserve"> new nominee should be sought, following the process outlined above</w:t>
      </w:r>
      <w:r>
        <w:t>.</w:t>
      </w:r>
    </w:p>
    <w:p w14:paraId="7FB109F0" w14:textId="77777777" w:rsidR="00B815B9" w:rsidRDefault="00B815B9" w:rsidP="00B815B9">
      <w:pPr>
        <w:pStyle w:val="ListParagraph"/>
        <w:spacing w:before="0" w:line="240" w:lineRule="auto"/>
      </w:pPr>
    </w:p>
    <w:p w14:paraId="6B9145E3" w14:textId="50CFAC7C" w:rsidR="00290CAD" w:rsidRPr="00B815B9" w:rsidRDefault="00290CAD" w:rsidP="00B815B9">
      <w:pPr>
        <w:pStyle w:val="ListParagraph"/>
        <w:numPr>
          <w:ilvl w:val="0"/>
          <w:numId w:val="11"/>
        </w:numPr>
        <w:spacing w:before="0" w:line="240" w:lineRule="auto"/>
      </w:pPr>
      <w:r>
        <w:t xml:space="preserve">External examiners are asked to notify the University of any change of circumstances as soon as possible </w:t>
      </w:r>
      <w:r w:rsidR="009A716E">
        <w:t>e.g.,</w:t>
      </w:r>
      <w:r>
        <w:t xml:space="preserve"> change of institution, change of contact details, relocation etc. If an external examiner relocates </w:t>
      </w:r>
      <w:r w:rsidR="00CD359D">
        <w:t xml:space="preserve">outside of the UK </w:t>
      </w:r>
      <w:r>
        <w:t xml:space="preserve">during their term of office, </w:t>
      </w:r>
      <w:r w:rsidR="00CD359D">
        <w:t xml:space="preserve">the University </w:t>
      </w:r>
      <w:r w:rsidR="00CD359D" w:rsidRPr="00CD359D">
        <w:t>cannot allow them to continue in their EE role due to potential legal implications</w:t>
      </w:r>
      <w:r w:rsidR="00D21BEE">
        <w:t xml:space="preserve"> and a new nominee must be sought as soon as possible following the processes outlined above</w:t>
      </w:r>
      <w:r w:rsidR="00CD359D" w:rsidRPr="00CD359D">
        <w:t>.</w:t>
      </w:r>
    </w:p>
    <w:p w14:paraId="6A465BE7" w14:textId="77777777" w:rsidR="00B815B9" w:rsidRDefault="00B815B9" w:rsidP="00B815B9">
      <w:pPr>
        <w:pStyle w:val="ListParagraph"/>
        <w:spacing w:before="0" w:line="240" w:lineRule="auto"/>
      </w:pPr>
    </w:p>
    <w:p w14:paraId="3F330290" w14:textId="42EA7965" w:rsidR="00290CAD" w:rsidRPr="00B16834" w:rsidRDefault="00290CAD" w:rsidP="00BD1EEB">
      <w:pPr>
        <w:pStyle w:val="ListParagraph"/>
        <w:numPr>
          <w:ilvl w:val="0"/>
          <w:numId w:val="11"/>
        </w:numPr>
        <w:spacing w:before="0" w:line="240" w:lineRule="auto"/>
      </w:pPr>
      <w:r w:rsidRPr="00B16834">
        <w:t xml:space="preserve">It should be noted that the normal reasons for terminating an appointment are non-fulfilment of duties, </w:t>
      </w:r>
      <w:r>
        <w:t xml:space="preserve">course closures, </w:t>
      </w:r>
      <w:r w:rsidRPr="00B16834">
        <w:t xml:space="preserve">non-submission of reports etc., and not academic disagreements with internal examiners or reasonable criticism of practices, </w:t>
      </w:r>
      <w:r w:rsidR="004E0A8C" w:rsidRPr="00B16834">
        <w:t>procedures,</w:t>
      </w:r>
      <w:r w:rsidRPr="00B16834">
        <w:t xml:space="preserve"> and standards. Indeed, the University expects that external examiners will be encouraged to make their views known and that such views will be respected and </w:t>
      </w:r>
      <w:r w:rsidR="004E0A8C" w:rsidRPr="00B16834">
        <w:t>carefully considered</w:t>
      </w:r>
      <w:r w:rsidRPr="00B16834">
        <w:t xml:space="preserve"> by the University. </w:t>
      </w:r>
    </w:p>
    <w:p w14:paraId="50BA9869" w14:textId="77777777" w:rsidR="00B815B9" w:rsidRDefault="00B815B9" w:rsidP="00B815B9">
      <w:pPr>
        <w:pStyle w:val="ListParagraph"/>
        <w:spacing w:before="0" w:line="240" w:lineRule="auto"/>
      </w:pPr>
    </w:p>
    <w:p w14:paraId="7D1DEFC4" w14:textId="1CD697D0" w:rsidR="00290CAD" w:rsidRPr="00C02DA8" w:rsidRDefault="00290CAD" w:rsidP="00BD1EEB">
      <w:pPr>
        <w:pStyle w:val="ListParagraph"/>
        <w:numPr>
          <w:ilvl w:val="0"/>
          <w:numId w:val="11"/>
        </w:numPr>
        <w:spacing w:before="0" w:line="240" w:lineRule="auto"/>
      </w:pPr>
      <w:r w:rsidRPr="00B16834">
        <w:t xml:space="preserve">An external examiner has the right to terminate their role as external examiner, if they are unable to complete their full term of office by giving not less than three months’ notice in writing to the Head of Department/School </w:t>
      </w:r>
      <w:r w:rsidR="00723B64">
        <w:t>(subject ex</w:t>
      </w:r>
      <w:r w:rsidR="00B703CC">
        <w:t xml:space="preserve">ternal examiners only) </w:t>
      </w:r>
      <w:r w:rsidRPr="00B16834">
        <w:t>and QAE.</w:t>
      </w:r>
    </w:p>
    <w:p w14:paraId="42EFC5BD" w14:textId="77777777" w:rsidR="00B815B9" w:rsidRDefault="00B815B9" w:rsidP="00BD1EEB">
      <w:pPr>
        <w:pStyle w:val="Heading2"/>
      </w:pPr>
      <w:bookmarkStart w:id="47" w:name="_Toc97630772"/>
    </w:p>
    <w:p w14:paraId="06B01BA9" w14:textId="57494BBE" w:rsidR="004506FC" w:rsidRDefault="00E35D3B" w:rsidP="00BD1EEB">
      <w:pPr>
        <w:pStyle w:val="Heading2"/>
      </w:pPr>
      <w:bookmarkStart w:id="48" w:name="_Toc203731662"/>
      <w:r>
        <w:t>External Examiner</w:t>
      </w:r>
      <w:r w:rsidR="002D6820">
        <w:t xml:space="preserve">s’ </w:t>
      </w:r>
      <w:r w:rsidR="004506FC">
        <w:t>Induction</w:t>
      </w:r>
      <w:bookmarkEnd w:id="47"/>
      <w:bookmarkEnd w:id="48"/>
      <w:r>
        <w:t xml:space="preserve"> </w:t>
      </w:r>
    </w:p>
    <w:p w14:paraId="7E0A431F" w14:textId="59F9CDF6" w:rsidR="00B16834" w:rsidRPr="00B16834" w:rsidRDefault="4EC00932" w:rsidP="00BD1EEB">
      <w:pPr>
        <w:pStyle w:val="ListParagraph"/>
        <w:numPr>
          <w:ilvl w:val="0"/>
          <w:numId w:val="11"/>
        </w:numPr>
        <w:spacing w:before="0" w:line="240" w:lineRule="auto"/>
      </w:pPr>
      <w:r>
        <w:t xml:space="preserve">All new examiners are invited to attend </w:t>
      </w:r>
      <w:r w:rsidR="64D31A04">
        <w:t>a</w:t>
      </w:r>
      <w:r>
        <w:t xml:space="preserve"> </w:t>
      </w:r>
      <w:proofErr w:type="gramStart"/>
      <w:r>
        <w:t>University</w:t>
      </w:r>
      <w:proofErr w:type="gramEnd"/>
      <w:r>
        <w:t xml:space="preserve"> </w:t>
      </w:r>
      <w:r w:rsidR="00376D5B">
        <w:t>e</w:t>
      </w:r>
      <w:r>
        <w:t xml:space="preserve">xternal </w:t>
      </w:r>
      <w:r w:rsidR="00376D5B">
        <w:t>e</w:t>
      </w:r>
      <w:r>
        <w:t>xaminers</w:t>
      </w:r>
      <w:r w:rsidR="002D6820">
        <w:fldChar w:fldCharType="begin"/>
      </w:r>
      <w:r w:rsidR="002D6820">
        <w:instrText xml:space="preserve"> XE "External Examiners:EE" </w:instrText>
      </w:r>
      <w:r w:rsidR="002D6820">
        <w:fldChar w:fldCharType="end"/>
      </w:r>
      <w:r>
        <w:t xml:space="preserve">’ </w:t>
      </w:r>
      <w:r w:rsidR="00A01CCF">
        <w:t>i</w:t>
      </w:r>
      <w:r>
        <w:t xml:space="preserve">nduction event. The </w:t>
      </w:r>
      <w:r w:rsidR="00C67670">
        <w:t>i</w:t>
      </w:r>
      <w:r>
        <w:t>nduction event does not replace local induction for subject external examiners by the Department/School.</w:t>
      </w:r>
    </w:p>
    <w:p w14:paraId="256930FD" w14:textId="77777777" w:rsidR="00B815B9" w:rsidRDefault="00B815B9" w:rsidP="00B815B9">
      <w:pPr>
        <w:pStyle w:val="ListParagraph"/>
        <w:spacing w:before="0" w:line="240" w:lineRule="auto"/>
        <w:rPr>
          <w:rFonts w:eastAsia="Times New Roman" w:cs="Arial"/>
          <w:lang w:eastAsia="en-GB"/>
        </w:rPr>
      </w:pPr>
    </w:p>
    <w:p w14:paraId="2C0F1CDF" w14:textId="509DB504" w:rsidR="00B16834" w:rsidRPr="00462605" w:rsidRDefault="002D6820" w:rsidP="00BD1EEB">
      <w:pPr>
        <w:pStyle w:val="ListParagraph"/>
        <w:numPr>
          <w:ilvl w:val="0"/>
          <w:numId w:val="11"/>
        </w:numPr>
        <w:spacing w:before="0" w:line="240" w:lineRule="auto"/>
        <w:rPr>
          <w:rFonts w:eastAsia="Times New Roman" w:cs="Arial"/>
          <w:lang w:eastAsia="en-GB"/>
        </w:rPr>
      </w:pPr>
      <w:r w:rsidRPr="00462605">
        <w:rPr>
          <w:rFonts w:eastAsia="Times New Roman" w:cs="Arial"/>
          <w:lang w:eastAsia="en-GB"/>
        </w:rPr>
        <w:t>The Head of Department</w:t>
      </w:r>
      <w:r w:rsidR="006B1949">
        <w:rPr>
          <w:rFonts w:eastAsia="Times New Roman" w:cs="Arial"/>
          <w:lang w:eastAsia="en-GB"/>
        </w:rPr>
        <w:t xml:space="preserve"> (or their nominee) </w:t>
      </w:r>
      <w:r w:rsidR="00D71761">
        <w:rPr>
          <w:rFonts w:eastAsia="Times New Roman" w:cs="Arial"/>
          <w:lang w:eastAsia="en-GB"/>
        </w:rPr>
        <w:t>must</w:t>
      </w:r>
      <w:r w:rsidRPr="00462605">
        <w:rPr>
          <w:rFonts w:eastAsia="Times New Roman" w:cs="Arial"/>
          <w:lang w:eastAsia="en-GB"/>
        </w:rPr>
        <w:t xml:space="preserve"> arrange an induction meeting with the subject external examiner to agree a schedule of work for the first year of appointment which allows the external to carry out an audit of the </w:t>
      </w:r>
      <w:proofErr w:type="gramStart"/>
      <w:r w:rsidRPr="00462605">
        <w:rPr>
          <w:rFonts w:eastAsia="Times New Roman" w:cs="Arial"/>
          <w:lang w:eastAsia="en-GB"/>
        </w:rPr>
        <w:t>particular assessment</w:t>
      </w:r>
      <w:proofErr w:type="gramEnd"/>
      <w:r w:rsidRPr="00462605">
        <w:rPr>
          <w:rFonts w:eastAsia="Times New Roman" w:cs="Arial"/>
          <w:lang w:eastAsia="en-GB"/>
        </w:rPr>
        <w:t xml:space="preserve"> scheme in operation. Time should be allowed for consultation with the examiner before assessments are due to take place, with a view to a clear understanding being reached on methods and procedures of assessment.</w:t>
      </w:r>
    </w:p>
    <w:p w14:paraId="5D008504" w14:textId="77777777" w:rsidR="00B815B9" w:rsidRDefault="00B815B9" w:rsidP="00B815B9">
      <w:pPr>
        <w:pStyle w:val="ListParagraph"/>
        <w:spacing w:before="0" w:line="240" w:lineRule="auto"/>
        <w:rPr>
          <w:rFonts w:eastAsia="Times New Roman" w:cs="Arial"/>
          <w:lang w:eastAsia="en-GB"/>
        </w:rPr>
      </w:pPr>
    </w:p>
    <w:p w14:paraId="00D714D3" w14:textId="6E213238" w:rsidR="0062298E" w:rsidRPr="00462605" w:rsidRDefault="0062298E" w:rsidP="00BD1EEB">
      <w:pPr>
        <w:pStyle w:val="ListParagraph"/>
        <w:numPr>
          <w:ilvl w:val="0"/>
          <w:numId w:val="11"/>
        </w:numPr>
        <w:spacing w:before="0" w:line="240" w:lineRule="auto"/>
        <w:rPr>
          <w:rFonts w:eastAsia="Times New Roman" w:cs="Arial"/>
          <w:lang w:eastAsia="en-GB"/>
        </w:rPr>
      </w:pPr>
      <w:r w:rsidRPr="00462605">
        <w:rPr>
          <w:rFonts w:eastAsia="Times New Roman" w:cs="Arial"/>
          <w:lang w:eastAsia="en-GB"/>
        </w:rPr>
        <w:t xml:space="preserve">Please refer to </w:t>
      </w:r>
      <w:r w:rsidR="004E0A8C" w:rsidRPr="00462605">
        <w:rPr>
          <w:rFonts w:eastAsia="Times New Roman" w:cs="Arial"/>
          <w:lang w:eastAsia="en-GB"/>
        </w:rPr>
        <w:t>IG (</w:t>
      </w:r>
      <w:r w:rsidRPr="00462605">
        <w:rPr>
          <w:rFonts w:eastAsia="Times New Roman" w:cs="Arial"/>
          <w:lang w:eastAsia="en-GB"/>
        </w:rPr>
        <w:t>iii) for further details</w:t>
      </w:r>
      <w:r w:rsidR="00F20F9F" w:rsidRPr="00462605">
        <w:rPr>
          <w:rFonts w:eastAsia="Times New Roman" w:cs="Arial"/>
          <w:lang w:eastAsia="en-GB"/>
        </w:rPr>
        <w:t xml:space="preserve"> on the external examiners’ induction</w:t>
      </w:r>
      <w:r w:rsidRPr="00462605">
        <w:rPr>
          <w:rFonts w:eastAsia="Times New Roman" w:cs="Arial"/>
          <w:lang w:eastAsia="en-GB"/>
        </w:rPr>
        <w:t xml:space="preserve">. </w:t>
      </w:r>
    </w:p>
    <w:p w14:paraId="00A1A41F" w14:textId="77777777" w:rsidR="00485AC1" w:rsidRPr="00093D55" w:rsidRDefault="00485AC1" w:rsidP="00093D55">
      <w:pPr>
        <w:pStyle w:val="ListParagraph"/>
        <w:rPr>
          <w:rFonts w:eastAsia="Times New Roman" w:cs="Arial"/>
          <w:lang w:eastAsia="en-GB"/>
        </w:rPr>
      </w:pPr>
    </w:p>
    <w:p w14:paraId="76B719CD" w14:textId="77777777" w:rsidR="00485AC1" w:rsidRDefault="00485AC1" w:rsidP="00485AC1">
      <w:pPr>
        <w:pStyle w:val="Heading2"/>
      </w:pPr>
      <w:bookmarkStart w:id="49" w:name="_Toc203731663"/>
      <w:r>
        <w:t>Subject External Examiner Audit</w:t>
      </w:r>
      <w:bookmarkEnd w:id="49"/>
    </w:p>
    <w:p w14:paraId="6965C668" w14:textId="3D712470" w:rsidR="00485AC1" w:rsidRPr="00C02DA8" w:rsidRDefault="00485AC1" w:rsidP="00093D55">
      <w:pPr>
        <w:pStyle w:val="ListParagraph"/>
        <w:numPr>
          <w:ilvl w:val="0"/>
          <w:numId w:val="11"/>
        </w:numPr>
        <w:spacing w:line="240" w:lineRule="auto"/>
      </w:pPr>
      <w:r w:rsidRPr="0005393E">
        <w:t>External examiners should receive the</w:t>
      </w:r>
      <w:r>
        <w:t xml:space="preserve"> internally moderated</w:t>
      </w:r>
      <w:r w:rsidRPr="0005393E">
        <w:t xml:space="preserve"> sample of </w:t>
      </w:r>
      <w:r>
        <w:t xml:space="preserve">student </w:t>
      </w:r>
      <w:r w:rsidRPr="0005393E">
        <w:t>work</w:t>
      </w:r>
      <w:r>
        <w:t xml:space="preserve"> </w:t>
      </w:r>
      <w:r w:rsidRPr="0005393E">
        <w:t xml:space="preserve">prior to </w:t>
      </w:r>
      <w:r>
        <w:t>ratification of the module marks on OSIS</w:t>
      </w:r>
      <w:r w:rsidRPr="0005393E">
        <w:t>, or at the latest within 5 university working days of ratification.</w:t>
      </w:r>
      <w:r>
        <w:t xml:space="preserve"> If an external examiner does not receive the sample of work for one or more of their modules as expected, they should specify the module</w:t>
      </w:r>
      <w:r w:rsidR="00942D0A">
        <w:t>(</w:t>
      </w:r>
      <w:r>
        <w:t>s</w:t>
      </w:r>
      <w:r w:rsidR="00942D0A">
        <w:t>)</w:t>
      </w:r>
      <w:r>
        <w:t xml:space="preserve"> for which they did not receive the sample</w:t>
      </w:r>
      <w:r w:rsidR="00942D0A">
        <w:t>(</w:t>
      </w:r>
      <w:r>
        <w:t>s</w:t>
      </w:r>
      <w:r w:rsidR="00942D0A">
        <w:t>)</w:t>
      </w:r>
      <w:r>
        <w:t xml:space="preserve"> in </w:t>
      </w:r>
      <w:r>
        <w:lastRenderedPageBreak/>
        <w:t xml:space="preserve">their annual report. If, following </w:t>
      </w:r>
      <w:r w:rsidR="008203D1">
        <w:t>further discussion</w:t>
      </w:r>
      <w:r>
        <w:t xml:space="preserve"> with</w:t>
      </w:r>
      <w:r w:rsidR="008203D1">
        <w:t xml:space="preserve"> the relevant </w:t>
      </w:r>
      <w:r>
        <w:t>faculty</w:t>
      </w:r>
      <w:r w:rsidR="008203D1">
        <w:t xml:space="preserve"> colleagues</w:t>
      </w:r>
      <w:r>
        <w:t>, it is confirmed that a sample of work was not sent to the external examiner</w:t>
      </w:r>
      <w:r w:rsidR="00FB4153">
        <w:t xml:space="preserve"> in accordance with university policy</w:t>
      </w:r>
      <w:r>
        <w:t xml:space="preserve">, it will be referred to the next faculty KCEP review meeting for members to agree </w:t>
      </w:r>
      <w:r w:rsidR="0057355E">
        <w:t>the</w:t>
      </w:r>
      <w:r>
        <w:t xml:space="preserve"> appropriate course of action</w:t>
      </w:r>
      <w:r w:rsidR="00467C9F">
        <w:t>.</w:t>
      </w:r>
    </w:p>
    <w:p w14:paraId="322CED8A" w14:textId="77777777" w:rsidR="00485AC1" w:rsidRPr="00462605" w:rsidRDefault="00485AC1" w:rsidP="00093D55">
      <w:pPr>
        <w:pStyle w:val="ListParagraph"/>
        <w:spacing w:before="0" w:line="240" w:lineRule="auto"/>
        <w:rPr>
          <w:rFonts w:eastAsia="Times New Roman" w:cs="Arial"/>
          <w:lang w:eastAsia="en-GB"/>
        </w:rPr>
      </w:pPr>
    </w:p>
    <w:p w14:paraId="13554403" w14:textId="77777777" w:rsidR="00B815B9" w:rsidRDefault="00B815B9" w:rsidP="00BD1EEB">
      <w:pPr>
        <w:pStyle w:val="Heading2"/>
      </w:pPr>
      <w:bookmarkStart w:id="50" w:name="_Toc97630773"/>
    </w:p>
    <w:p w14:paraId="369BAEE9" w14:textId="04666AB4" w:rsidR="00E065B5" w:rsidRPr="00B16834" w:rsidRDefault="00E35D3B" w:rsidP="00BD1EEB">
      <w:pPr>
        <w:pStyle w:val="Heading2"/>
        <w:rPr>
          <w:rFonts w:eastAsia="Times New Roman"/>
        </w:rPr>
      </w:pPr>
      <w:bookmarkStart w:id="51" w:name="_Toc203731664"/>
      <w:r>
        <w:t xml:space="preserve">External Examiner </w:t>
      </w:r>
      <w:r w:rsidR="004506FC">
        <w:t>Annual Reports</w:t>
      </w:r>
      <w:bookmarkEnd w:id="50"/>
      <w:bookmarkEnd w:id="51"/>
      <w:r w:rsidR="004506FC" w:rsidRPr="06476E8A">
        <w:rPr>
          <w:rFonts w:eastAsia="Times New Roman"/>
        </w:rPr>
        <w:t xml:space="preserve"> </w:t>
      </w:r>
    </w:p>
    <w:p w14:paraId="307AA633" w14:textId="7A5E95EC" w:rsidR="00B16834" w:rsidRPr="00B16834" w:rsidRDefault="00E065B5" w:rsidP="00BD1EEB">
      <w:pPr>
        <w:pStyle w:val="ListParagraph"/>
        <w:numPr>
          <w:ilvl w:val="0"/>
          <w:numId w:val="11"/>
        </w:numPr>
        <w:spacing w:before="0" w:line="240" w:lineRule="auto"/>
      </w:pPr>
      <w:r w:rsidRPr="00F4131B">
        <w:t>All external examiners, as part of their contract with the University, are required to submit an annual report. The University has adopted a standard report format which must be completed on-line. In addition to responses to key questions about standards, processes and procedures, external examiners are also asked to detail any areas of good practice and/or recommendations for enhancement.</w:t>
      </w:r>
    </w:p>
    <w:p w14:paraId="41856966" w14:textId="77777777" w:rsidR="00B815B9" w:rsidRDefault="00B815B9" w:rsidP="00B815B9">
      <w:pPr>
        <w:pStyle w:val="ListParagraph"/>
        <w:spacing w:before="0" w:line="240" w:lineRule="auto"/>
        <w:rPr>
          <w:rFonts w:eastAsia="Times New Roman"/>
          <w:snapToGrid w:val="0"/>
        </w:rPr>
      </w:pPr>
    </w:p>
    <w:p w14:paraId="68FACE33" w14:textId="491EE6B4" w:rsidR="00E065B5" w:rsidRPr="003834C3" w:rsidRDefault="46D62942" w:rsidP="00BD1EEB">
      <w:pPr>
        <w:pStyle w:val="ListParagraph"/>
        <w:numPr>
          <w:ilvl w:val="0"/>
          <w:numId w:val="11"/>
        </w:numPr>
        <w:spacing w:before="0" w:line="240" w:lineRule="auto"/>
        <w:rPr>
          <w:rFonts w:eastAsia="Times New Roman"/>
          <w:snapToGrid w:val="0"/>
        </w:rPr>
      </w:pPr>
      <w:r w:rsidRPr="00462605">
        <w:rPr>
          <w:rFonts w:eastAsia="Times New Roman"/>
          <w:snapToGrid w:val="0"/>
        </w:rPr>
        <w:t xml:space="preserve">The University regards the external examiner’s annual report as a critical part of its quality assurance and enhancement procedures.  </w:t>
      </w:r>
      <w:r w:rsidR="66FBECFE" w:rsidRPr="00462605">
        <w:rPr>
          <w:rFonts w:eastAsia="Times New Roman"/>
          <w:snapToGrid w:val="0"/>
        </w:rPr>
        <w:t xml:space="preserve">The Head of </w:t>
      </w:r>
      <w:r w:rsidRPr="00462605">
        <w:rPr>
          <w:rFonts w:eastAsia="Times New Roman"/>
          <w:snapToGrid w:val="0"/>
        </w:rPr>
        <w:t>QAE</w:t>
      </w:r>
      <w:r w:rsidR="3C896213" w:rsidRPr="00462605">
        <w:rPr>
          <w:rFonts w:eastAsia="Times New Roman"/>
          <w:snapToGrid w:val="0"/>
        </w:rPr>
        <w:t>,</w:t>
      </w:r>
      <w:r w:rsidR="66FBECFE" w:rsidRPr="00462605">
        <w:rPr>
          <w:rFonts w:eastAsia="Times New Roman"/>
          <w:snapToGrid w:val="0"/>
        </w:rPr>
        <w:t xml:space="preserve"> on behalf of the Vice-Chancellor</w:t>
      </w:r>
      <w:r w:rsidR="00E065B5" w:rsidRPr="00462605">
        <w:rPr>
          <w:rFonts w:eastAsia="Times New Roman"/>
          <w:snapToGrid w:val="0"/>
        </w:rPr>
        <w:fldChar w:fldCharType="begin"/>
      </w:r>
      <w:r w:rsidR="00E065B5" w:rsidRPr="00462605">
        <w:rPr>
          <w:rFonts w:eastAsia="Times New Roman"/>
          <w:snapToGrid w:val="0"/>
        </w:rPr>
        <w:instrText xml:space="preserve"> XE "Vice-Chancellor:VC" </w:instrText>
      </w:r>
      <w:r w:rsidR="00E065B5" w:rsidRPr="00462605">
        <w:rPr>
          <w:rFonts w:eastAsia="Times New Roman"/>
          <w:snapToGrid w:val="0"/>
        </w:rPr>
        <w:fldChar w:fldCharType="end"/>
      </w:r>
      <w:r w:rsidR="66FBECFE" w:rsidRPr="00462605">
        <w:rPr>
          <w:rFonts w:eastAsia="Times New Roman"/>
          <w:snapToGrid w:val="0"/>
        </w:rPr>
        <w:t xml:space="preserve">, is the formal recipient of external examiner </w:t>
      </w:r>
      <w:r w:rsidR="57232C41" w:rsidRPr="00462605">
        <w:rPr>
          <w:rFonts w:eastAsia="Times New Roman"/>
          <w:snapToGrid w:val="0"/>
        </w:rPr>
        <w:t xml:space="preserve">annual </w:t>
      </w:r>
      <w:r w:rsidR="66FBECFE" w:rsidRPr="00462605">
        <w:rPr>
          <w:rFonts w:eastAsia="Times New Roman"/>
          <w:snapToGrid w:val="0"/>
        </w:rPr>
        <w:t xml:space="preserve">reports and carries out an independent audit of all reports annually </w:t>
      </w:r>
      <w:proofErr w:type="gramStart"/>
      <w:r w:rsidR="66FBECFE" w:rsidRPr="00462605">
        <w:rPr>
          <w:rFonts w:eastAsia="Times New Roman"/>
          <w:snapToGrid w:val="0"/>
        </w:rPr>
        <w:t>in order to</w:t>
      </w:r>
      <w:proofErr w:type="gramEnd"/>
      <w:r w:rsidR="66FBECFE" w:rsidRPr="00462605">
        <w:rPr>
          <w:rFonts w:eastAsia="Times New Roman"/>
          <w:snapToGrid w:val="0"/>
        </w:rPr>
        <w:t xml:space="preserve"> provide an annual overview summary for the Education Committee. F</w:t>
      </w:r>
      <w:r w:rsidR="3B69489F" w:rsidRPr="00462605">
        <w:rPr>
          <w:rFonts w:eastAsia="Times New Roman"/>
          <w:snapToGrid w:val="0"/>
        </w:rPr>
        <w:t xml:space="preserve">eedback relating to operation of boards and </w:t>
      </w:r>
      <w:r w:rsidR="6B0E28A6" w:rsidRPr="00462605">
        <w:rPr>
          <w:rFonts w:eastAsia="Times New Roman"/>
          <w:snapToGrid w:val="0"/>
        </w:rPr>
        <w:t xml:space="preserve">regulations will be forwarded to the </w:t>
      </w:r>
      <w:r w:rsidR="49C02CBE" w:rsidRPr="00462605">
        <w:rPr>
          <w:rFonts w:eastAsia="Times New Roman"/>
          <w:snapToGrid w:val="0"/>
        </w:rPr>
        <w:t>Regulatory Framework Committee</w:t>
      </w:r>
      <w:r w:rsidR="66FBECFE" w:rsidRPr="00462605">
        <w:rPr>
          <w:rFonts w:eastAsia="Times New Roman"/>
          <w:snapToGrid w:val="0"/>
        </w:rPr>
        <w:t>.</w:t>
      </w:r>
      <w:r w:rsidR="49C02CBE" w:rsidRPr="00462605">
        <w:rPr>
          <w:rFonts w:eastAsia="Times New Roman"/>
          <w:snapToGrid w:val="0"/>
        </w:rPr>
        <w:t xml:space="preserve"> </w:t>
      </w:r>
      <w:r w:rsidR="0761E2E9" w:rsidRPr="00F4131B">
        <w:t xml:space="preserve">QAE is responsible for receipt and initial consideration of external examiners’ </w:t>
      </w:r>
      <w:r w:rsidR="57232C41">
        <w:t xml:space="preserve">annual </w:t>
      </w:r>
      <w:r w:rsidR="0761E2E9" w:rsidRPr="00F4131B">
        <w:t>reports.</w:t>
      </w:r>
    </w:p>
    <w:p w14:paraId="66568947" w14:textId="77777777" w:rsidR="00B815B9" w:rsidRDefault="00B815B9" w:rsidP="00B815B9">
      <w:pPr>
        <w:pStyle w:val="ListParagraph"/>
        <w:spacing w:before="0" w:line="240" w:lineRule="auto"/>
        <w:rPr>
          <w:rFonts w:eastAsia="Times New Roman"/>
          <w:snapToGrid w:val="0"/>
        </w:rPr>
      </w:pPr>
    </w:p>
    <w:p w14:paraId="4FA4EFCD" w14:textId="4844AB91" w:rsidR="00E065B5" w:rsidRPr="003834C3" w:rsidRDefault="00AB1857" w:rsidP="00BD1EEB">
      <w:pPr>
        <w:pStyle w:val="ListParagraph"/>
        <w:numPr>
          <w:ilvl w:val="0"/>
          <w:numId w:val="11"/>
        </w:numPr>
        <w:spacing w:before="0" w:line="240" w:lineRule="auto"/>
        <w:rPr>
          <w:rFonts w:eastAsia="Times New Roman"/>
          <w:snapToGrid w:val="0"/>
        </w:rPr>
      </w:pPr>
      <w:r w:rsidRPr="003834C3">
        <w:rPr>
          <w:rFonts w:eastAsia="Times New Roman"/>
          <w:snapToGrid w:val="0"/>
        </w:rPr>
        <w:t>Subject external examiners allocated to modules</w:t>
      </w:r>
      <w:r w:rsidR="00E154C3">
        <w:rPr>
          <w:rFonts w:eastAsia="Times New Roman"/>
          <w:snapToGrid w:val="0"/>
        </w:rPr>
        <w:t xml:space="preserve"> delivered by a collaborative partner,</w:t>
      </w:r>
      <w:r w:rsidRPr="003834C3">
        <w:rPr>
          <w:rFonts w:eastAsia="Times New Roman"/>
          <w:snapToGrid w:val="0"/>
        </w:rPr>
        <w:t xml:space="preserve"> will be required to comment on each partner (as appropriate) that delivers the modules. This may take the form of </w:t>
      </w:r>
      <w:proofErr w:type="gramStart"/>
      <w:r w:rsidRPr="003834C3">
        <w:rPr>
          <w:rFonts w:eastAsia="Times New Roman"/>
          <w:snapToGrid w:val="0"/>
        </w:rPr>
        <w:t>particular questions</w:t>
      </w:r>
      <w:proofErr w:type="gramEnd"/>
      <w:r w:rsidRPr="003834C3">
        <w:rPr>
          <w:rFonts w:eastAsia="Times New Roman"/>
          <w:snapToGrid w:val="0"/>
        </w:rPr>
        <w:t xml:space="preserve"> within one report or separate reports. The precise format will depend upon the nature of the collaboration and external examiner arrangements. The reporting requirements will be made clear at appointment and in the induction by the relevant Head of School</w:t>
      </w:r>
      <w:r w:rsidRPr="003834C3">
        <w:rPr>
          <w:rFonts w:eastAsia="Times New Roman"/>
          <w:snapToGrid w:val="0"/>
        </w:rPr>
        <w:fldChar w:fldCharType="begin"/>
      </w:r>
      <w:r w:rsidRPr="003834C3">
        <w:rPr>
          <w:rFonts w:eastAsia="Times New Roman"/>
          <w:snapToGrid w:val="0"/>
        </w:rPr>
        <w:instrText xml:space="preserve"> XE "Head of School:HoS" </w:instrText>
      </w:r>
      <w:r w:rsidRPr="003834C3">
        <w:rPr>
          <w:rFonts w:eastAsia="Times New Roman"/>
          <w:snapToGrid w:val="0"/>
        </w:rPr>
        <w:fldChar w:fldCharType="end"/>
      </w:r>
      <w:r w:rsidRPr="003834C3">
        <w:rPr>
          <w:rFonts w:eastAsia="Times New Roman"/>
          <w:snapToGrid w:val="0"/>
        </w:rPr>
        <w:t xml:space="preserve"> or nominee.</w:t>
      </w:r>
    </w:p>
    <w:p w14:paraId="67B32016" w14:textId="77777777" w:rsidR="00B815B9" w:rsidRPr="00B815B9" w:rsidRDefault="00B815B9" w:rsidP="00B815B9">
      <w:pPr>
        <w:pStyle w:val="ListParagraph"/>
        <w:spacing w:before="0" w:line="240" w:lineRule="auto"/>
      </w:pPr>
    </w:p>
    <w:p w14:paraId="11BEE664" w14:textId="0E21A82D" w:rsidR="00E065B5" w:rsidRPr="00106003" w:rsidRDefault="00E065B5" w:rsidP="00BD1EEB">
      <w:pPr>
        <w:pStyle w:val="ListParagraph"/>
        <w:numPr>
          <w:ilvl w:val="0"/>
          <w:numId w:val="11"/>
        </w:numPr>
        <w:spacing w:before="0" w:line="240" w:lineRule="auto"/>
      </w:pPr>
      <w:r w:rsidRPr="00290CAD">
        <w:rPr>
          <w:snapToGrid w:val="0"/>
        </w:rPr>
        <w:t>If a</w:t>
      </w:r>
      <w:r w:rsidR="00A03631" w:rsidRPr="00290CAD">
        <w:rPr>
          <w:snapToGrid w:val="0"/>
        </w:rPr>
        <w:t xml:space="preserve"> subject</w:t>
      </w:r>
      <w:r w:rsidRPr="00290CAD">
        <w:rPr>
          <w:snapToGrid w:val="0"/>
        </w:rPr>
        <w:t xml:space="preserve"> external examiner, following a reminder, does not submit </w:t>
      </w:r>
      <w:r w:rsidR="00A03631" w:rsidRPr="00290CAD">
        <w:rPr>
          <w:snapToGrid w:val="0"/>
        </w:rPr>
        <w:t>the annual</w:t>
      </w:r>
      <w:r w:rsidRPr="00290CAD">
        <w:rPr>
          <w:snapToGrid w:val="0"/>
        </w:rPr>
        <w:t xml:space="preserve"> report within one month of</w:t>
      </w:r>
      <w:r w:rsidR="00AB1857" w:rsidRPr="00290CAD">
        <w:rPr>
          <w:snapToGrid w:val="0"/>
        </w:rPr>
        <w:t xml:space="preserve"> </w:t>
      </w:r>
      <w:r w:rsidR="00347716">
        <w:rPr>
          <w:snapToGrid w:val="0"/>
        </w:rPr>
        <w:t xml:space="preserve">the last assessment board </w:t>
      </w:r>
      <w:r w:rsidR="005953A2">
        <w:rPr>
          <w:snapToGrid w:val="0"/>
        </w:rPr>
        <w:t xml:space="preserve">that considers </w:t>
      </w:r>
      <w:r w:rsidR="009D7761">
        <w:rPr>
          <w:snapToGrid w:val="0"/>
        </w:rPr>
        <w:t xml:space="preserve">one or more of </w:t>
      </w:r>
      <w:r w:rsidR="00347716">
        <w:rPr>
          <w:snapToGrid w:val="0"/>
        </w:rPr>
        <w:t>the modules within their remit</w:t>
      </w:r>
      <w:r w:rsidR="00470AAE" w:rsidRPr="00290CAD">
        <w:rPr>
          <w:snapToGrid w:val="0"/>
        </w:rPr>
        <w:t xml:space="preserve"> for th</w:t>
      </w:r>
      <w:r w:rsidR="00467EA8" w:rsidRPr="00290CAD">
        <w:rPr>
          <w:snapToGrid w:val="0"/>
        </w:rPr>
        <w:t>at year/cohort</w:t>
      </w:r>
      <w:r w:rsidR="00A03631" w:rsidRPr="00290CAD">
        <w:rPr>
          <w:snapToGrid w:val="0"/>
        </w:rPr>
        <w:t xml:space="preserve">, or the report is considered to be too cursory to be of value and requests for amplification are not responded to, the contract may be terminated forthwith </w:t>
      </w:r>
      <w:r w:rsidRPr="00290CAD">
        <w:rPr>
          <w:snapToGrid w:val="0"/>
        </w:rPr>
        <w:t>(</w:t>
      </w:r>
      <w:r w:rsidR="00516A66" w:rsidRPr="00106003">
        <w:t xml:space="preserve">see </w:t>
      </w:r>
      <w:r w:rsidR="00106003" w:rsidRPr="00106003">
        <w:t>Termination of Appointment</w:t>
      </w:r>
      <w:r w:rsidRPr="00290CAD">
        <w:rPr>
          <w:snapToGrid w:val="0"/>
        </w:rPr>
        <w:t xml:space="preserve">).  </w:t>
      </w:r>
    </w:p>
    <w:p w14:paraId="605647D7" w14:textId="77777777" w:rsidR="00B815B9" w:rsidRDefault="00B815B9" w:rsidP="00B815B9">
      <w:pPr>
        <w:pStyle w:val="ListParagraph"/>
        <w:spacing w:before="0" w:line="240" w:lineRule="auto"/>
        <w:rPr>
          <w:rFonts w:eastAsia="Times New Roman"/>
          <w:snapToGrid w:val="0"/>
        </w:rPr>
      </w:pPr>
    </w:p>
    <w:p w14:paraId="0BCFE1F9" w14:textId="3349E2A2" w:rsidR="00912186" w:rsidRDefault="00A03631" w:rsidP="00790DB7">
      <w:pPr>
        <w:pStyle w:val="ListParagraph"/>
        <w:numPr>
          <w:ilvl w:val="0"/>
          <w:numId w:val="11"/>
        </w:numPr>
        <w:spacing w:before="0" w:line="240" w:lineRule="auto"/>
        <w:rPr>
          <w:rFonts w:eastAsia="Times New Roman"/>
          <w:snapToGrid w:val="0"/>
        </w:rPr>
      </w:pPr>
      <w:r w:rsidRPr="003834C3">
        <w:rPr>
          <w:rFonts w:eastAsia="Times New Roman"/>
          <w:snapToGrid w:val="0"/>
        </w:rPr>
        <w:t xml:space="preserve">If a PAB external examiner, following a reminder, does not submit the annual report within one month of the last PAB of the academic year that they attended, or the report </w:t>
      </w:r>
      <w:proofErr w:type="gramStart"/>
      <w:r w:rsidRPr="003834C3">
        <w:rPr>
          <w:rFonts w:eastAsia="Times New Roman"/>
          <w:snapToGrid w:val="0"/>
        </w:rPr>
        <w:t>is considered to be</w:t>
      </w:r>
      <w:proofErr w:type="gramEnd"/>
      <w:r w:rsidRPr="003834C3">
        <w:rPr>
          <w:rFonts w:eastAsia="Times New Roman"/>
          <w:snapToGrid w:val="0"/>
        </w:rPr>
        <w:t xml:space="preserve"> too cursory to be of value and requests for amplification are not responded to, the contract may be terminated forthwith </w:t>
      </w:r>
      <w:r w:rsidR="00106003" w:rsidRPr="003834C3">
        <w:rPr>
          <w:rFonts w:eastAsia="Times New Roman"/>
          <w:snapToGrid w:val="0"/>
        </w:rPr>
        <w:t>(</w:t>
      </w:r>
      <w:r w:rsidR="00106003" w:rsidRPr="00106003">
        <w:t>see Termination of Appointment</w:t>
      </w:r>
      <w:r w:rsidR="00106003" w:rsidRPr="003834C3">
        <w:rPr>
          <w:rFonts w:eastAsia="Times New Roman"/>
          <w:snapToGrid w:val="0"/>
        </w:rPr>
        <w:t xml:space="preserve">). </w:t>
      </w:r>
      <w:r w:rsidRPr="003834C3">
        <w:rPr>
          <w:rFonts w:eastAsia="Times New Roman"/>
          <w:snapToGrid w:val="0"/>
        </w:rPr>
        <w:t xml:space="preserve">  </w:t>
      </w:r>
    </w:p>
    <w:p w14:paraId="659D13DF" w14:textId="77777777" w:rsidR="00790DB7" w:rsidRPr="00790DB7" w:rsidRDefault="00790DB7" w:rsidP="00790DB7">
      <w:pPr>
        <w:spacing w:line="240" w:lineRule="auto"/>
        <w:rPr>
          <w:rFonts w:eastAsia="Times New Roman"/>
          <w:snapToGrid w:val="0"/>
        </w:rPr>
      </w:pPr>
    </w:p>
    <w:p w14:paraId="17FE24A1" w14:textId="68B21ABA" w:rsidR="00912186" w:rsidRPr="004E6894" w:rsidRDefault="00912186" w:rsidP="00912186">
      <w:pPr>
        <w:pStyle w:val="ListParagraph"/>
        <w:numPr>
          <w:ilvl w:val="0"/>
          <w:numId w:val="11"/>
        </w:numPr>
        <w:spacing w:before="0" w:line="240" w:lineRule="auto"/>
        <w:rPr>
          <w:rFonts w:eastAsia="Times New Roman"/>
          <w:snapToGrid w:val="0"/>
        </w:rPr>
      </w:pPr>
      <w:r w:rsidRPr="003834C3">
        <w:rPr>
          <w:rFonts w:eastAsia="Times New Roman"/>
          <w:snapToGrid w:val="0"/>
        </w:rPr>
        <w:t>If a</w:t>
      </w:r>
      <w:r>
        <w:rPr>
          <w:rFonts w:eastAsia="Times New Roman"/>
          <w:snapToGrid w:val="0"/>
        </w:rPr>
        <w:t xml:space="preserve"> HDA</w:t>
      </w:r>
      <w:r w:rsidRPr="003834C3">
        <w:rPr>
          <w:rFonts w:eastAsia="Times New Roman"/>
          <w:snapToGrid w:val="0"/>
        </w:rPr>
        <w:t xml:space="preserve"> external examiner, following a reminder, does not submit the annual </w:t>
      </w:r>
      <w:r w:rsidR="00D46CB5">
        <w:rPr>
          <w:rFonts w:eastAsia="Times New Roman"/>
          <w:snapToGrid w:val="0"/>
        </w:rPr>
        <w:t xml:space="preserve">within one month of the last Apprenticeship Monitoring Committee </w:t>
      </w:r>
      <w:r w:rsidR="007B6E39">
        <w:rPr>
          <w:rFonts w:eastAsia="Times New Roman"/>
          <w:snapToGrid w:val="0"/>
        </w:rPr>
        <w:t>meeting for that academic year</w:t>
      </w:r>
      <w:r w:rsidR="00C92F14">
        <w:rPr>
          <w:rFonts w:eastAsia="Times New Roman"/>
          <w:snapToGrid w:val="0"/>
        </w:rPr>
        <w:t xml:space="preserve"> that they attended</w:t>
      </w:r>
      <w:r w:rsidR="007B6E39">
        <w:rPr>
          <w:rFonts w:eastAsia="Times New Roman"/>
          <w:snapToGrid w:val="0"/>
        </w:rPr>
        <w:t xml:space="preserve">, </w:t>
      </w:r>
      <w:r w:rsidRPr="003834C3">
        <w:rPr>
          <w:rFonts w:eastAsia="Times New Roman"/>
          <w:snapToGrid w:val="0"/>
        </w:rPr>
        <w:t xml:space="preserve">or the report </w:t>
      </w:r>
      <w:proofErr w:type="gramStart"/>
      <w:r w:rsidRPr="003834C3">
        <w:rPr>
          <w:rFonts w:eastAsia="Times New Roman"/>
          <w:snapToGrid w:val="0"/>
        </w:rPr>
        <w:t>is considered to be</w:t>
      </w:r>
      <w:proofErr w:type="gramEnd"/>
      <w:r w:rsidRPr="003834C3">
        <w:rPr>
          <w:rFonts w:eastAsia="Times New Roman"/>
          <w:snapToGrid w:val="0"/>
        </w:rPr>
        <w:t xml:space="preserve"> too cursory to be of value and requests for amplification are not responded to, the </w:t>
      </w:r>
      <w:r w:rsidRPr="003834C3">
        <w:rPr>
          <w:rFonts w:eastAsia="Times New Roman"/>
          <w:snapToGrid w:val="0"/>
        </w:rPr>
        <w:lastRenderedPageBreak/>
        <w:t>contract may be terminated forthwith (</w:t>
      </w:r>
      <w:r w:rsidRPr="00106003">
        <w:t>see Termination of Appointment</w:t>
      </w:r>
      <w:r w:rsidRPr="003834C3">
        <w:rPr>
          <w:rFonts w:eastAsia="Times New Roman"/>
          <w:snapToGrid w:val="0"/>
        </w:rPr>
        <w:t xml:space="preserve">).   </w:t>
      </w:r>
    </w:p>
    <w:p w14:paraId="7F078A7D" w14:textId="77777777" w:rsidR="00B815B9" w:rsidRDefault="00B815B9" w:rsidP="00B815B9">
      <w:pPr>
        <w:pStyle w:val="ListParagraph"/>
        <w:spacing w:before="0" w:line="240" w:lineRule="auto"/>
        <w:rPr>
          <w:rFonts w:eastAsia="Times New Roman"/>
          <w:snapToGrid w:val="0"/>
        </w:rPr>
      </w:pPr>
    </w:p>
    <w:p w14:paraId="34679CB7" w14:textId="1C16254D" w:rsidR="00947689" w:rsidRPr="003834C3" w:rsidRDefault="00A03631" w:rsidP="00BD1EEB">
      <w:pPr>
        <w:pStyle w:val="ListParagraph"/>
        <w:numPr>
          <w:ilvl w:val="0"/>
          <w:numId w:val="11"/>
        </w:numPr>
        <w:spacing w:before="0" w:line="240" w:lineRule="auto"/>
        <w:rPr>
          <w:rFonts w:eastAsia="Times New Roman"/>
          <w:snapToGrid w:val="0"/>
        </w:rPr>
      </w:pPr>
      <w:r w:rsidRPr="003834C3">
        <w:rPr>
          <w:rFonts w:eastAsia="Times New Roman"/>
          <w:snapToGrid w:val="0"/>
        </w:rPr>
        <w:t>Annual reports</w:t>
      </w:r>
      <w:r w:rsidR="00E065B5" w:rsidRPr="003834C3">
        <w:rPr>
          <w:rFonts w:eastAsia="Times New Roman"/>
          <w:snapToGrid w:val="0"/>
        </w:rPr>
        <w:t xml:space="preserve"> will be regarded as a public document within the University and form part of the documentation for </w:t>
      </w:r>
      <w:r w:rsidR="00904135">
        <w:rPr>
          <w:rFonts w:eastAsia="Times New Roman"/>
          <w:snapToGrid w:val="0"/>
        </w:rPr>
        <w:t xml:space="preserve">Student Voice Committee meetings, </w:t>
      </w:r>
      <w:r w:rsidR="00EE7174" w:rsidRPr="003834C3">
        <w:rPr>
          <w:rFonts w:eastAsia="Times New Roman"/>
          <w:snapToGrid w:val="0"/>
        </w:rPr>
        <w:t>Substantive Review</w:t>
      </w:r>
      <w:r w:rsidR="00E065B5" w:rsidRPr="003834C3">
        <w:rPr>
          <w:rFonts w:eastAsia="Times New Roman"/>
          <w:snapToGrid w:val="0"/>
        </w:rPr>
        <w:t xml:space="preserve"> panels</w:t>
      </w:r>
      <w:r w:rsidRPr="003834C3">
        <w:rPr>
          <w:rFonts w:eastAsia="Times New Roman"/>
          <w:snapToGrid w:val="0"/>
        </w:rPr>
        <w:t xml:space="preserve"> and</w:t>
      </w:r>
      <w:r w:rsidR="00E065B5" w:rsidRPr="003834C3">
        <w:rPr>
          <w:rFonts w:eastAsia="Times New Roman"/>
          <w:snapToGrid w:val="0"/>
        </w:rPr>
        <w:t xml:space="preserve"> professional and/or regulatory bodies. Individual students can also make an email request to QAE for a</w:t>
      </w:r>
      <w:r w:rsidR="00467EA8" w:rsidRPr="003834C3">
        <w:rPr>
          <w:rFonts w:eastAsia="Times New Roman"/>
          <w:snapToGrid w:val="0"/>
        </w:rPr>
        <w:t>n</w:t>
      </w:r>
      <w:r w:rsidR="00AB1857" w:rsidRPr="003834C3">
        <w:rPr>
          <w:rFonts w:eastAsia="Times New Roman"/>
          <w:snapToGrid w:val="0"/>
        </w:rPr>
        <w:t xml:space="preserve"> </w:t>
      </w:r>
      <w:r w:rsidR="00E065B5" w:rsidRPr="003834C3">
        <w:rPr>
          <w:rFonts w:eastAsia="Times New Roman"/>
          <w:snapToGrid w:val="0"/>
        </w:rPr>
        <w:t>external examiner’s</w:t>
      </w:r>
      <w:r w:rsidR="00EB69C2" w:rsidRPr="003834C3">
        <w:rPr>
          <w:rFonts w:eastAsia="Times New Roman"/>
          <w:snapToGrid w:val="0"/>
        </w:rPr>
        <w:t xml:space="preserve"> annual</w:t>
      </w:r>
      <w:r w:rsidR="00E065B5" w:rsidRPr="003834C3">
        <w:rPr>
          <w:rFonts w:eastAsia="Times New Roman"/>
          <w:snapToGrid w:val="0"/>
        </w:rPr>
        <w:t xml:space="preserve"> report</w:t>
      </w:r>
      <w:r w:rsidR="004B1825">
        <w:rPr>
          <w:rFonts w:eastAsia="Times New Roman"/>
          <w:snapToGrid w:val="0"/>
        </w:rPr>
        <w:t>.</w:t>
      </w:r>
      <w:r w:rsidR="004E0A8C" w:rsidRPr="003834C3">
        <w:rPr>
          <w:rFonts w:eastAsia="Times New Roman"/>
          <w:snapToGrid w:val="0"/>
        </w:rPr>
        <w:t xml:space="preserve"> </w:t>
      </w:r>
    </w:p>
    <w:p w14:paraId="708812C7" w14:textId="77777777" w:rsidR="00B815B9" w:rsidRDefault="00B815B9" w:rsidP="00B815B9">
      <w:pPr>
        <w:pStyle w:val="ListParagraph"/>
        <w:spacing w:before="0" w:line="240" w:lineRule="auto"/>
        <w:rPr>
          <w:rFonts w:eastAsia="Times New Roman"/>
          <w:snapToGrid w:val="0"/>
        </w:rPr>
      </w:pPr>
    </w:p>
    <w:p w14:paraId="1563FA19" w14:textId="6D18EF8F" w:rsidR="00E065B5" w:rsidRPr="003834C3" w:rsidRDefault="00E065B5" w:rsidP="00BD1EEB">
      <w:pPr>
        <w:pStyle w:val="ListParagraph"/>
        <w:numPr>
          <w:ilvl w:val="0"/>
          <w:numId w:val="11"/>
        </w:numPr>
        <w:spacing w:before="0" w:line="240" w:lineRule="auto"/>
        <w:rPr>
          <w:rFonts w:eastAsia="Times New Roman"/>
          <w:snapToGrid w:val="0"/>
        </w:rPr>
      </w:pPr>
      <w:r w:rsidRPr="003834C3">
        <w:rPr>
          <w:rFonts w:eastAsia="Times New Roman"/>
          <w:snapToGrid w:val="0"/>
        </w:rPr>
        <w:t xml:space="preserve">If necessary, external examiners can submit a separate confidential letter to the Vice-Chancellor. The confidential letter should be submitted in addition to the annual </w:t>
      </w:r>
      <w:r w:rsidR="004E0A8C" w:rsidRPr="003834C3">
        <w:rPr>
          <w:rFonts w:eastAsia="Times New Roman"/>
          <w:snapToGrid w:val="0"/>
        </w:rPr>
        <w:t>report,</w:t>
      </w:r>
      <w:r w:rsidRPr="003834C3">
        <w:rPr>
          <w:rFonts w:eastAsia="Times New Roman"/>
          <w:snapToGrid w:val="0"/>
        </w:rPr>
        <w:t xml:space="preserve"> but the latter can refer to the fact that a confidential letter is also being sent without disclosing the details. An acknowledgement letter will be sent to the examiner from the VC within one week of receipt of the letter.  The examiner will receive a formal response, following a detailed investigation into the matter, within four weeks of receipt of the letter.</w:t>
      </w:r>
    </w:p>
    <w:p w14:paraId="114DF93B" w14:textId="77777777" w:rsidR="00B815B9" w:rsidRDefault="00B815B9" w:rsidP="00BD1EEB">
      <w:pPr>
        <w:pStyle w:val="Heading3"/>
      </w:pPr>
      <w:bookmarkStart w:id="52" w:name="_Toc97630774"/>
    </w:p>
    <w:p w14:paraId="746A4287" w14:textId="09DE8F38" w:rsidR="00947689" w:rsidRPr="00F4131B" w:rsidRDefault="00E141C2" w:rsidP="00BD1EEB">
      <w:pPr>
        <w:pStyle w:val="Heading3"/>
      </w:pPr>
      <w:bookmarkStart w:id="53" w:name="_Toc203731665"/>
      <w:r>
        <w:t>Feedback</w:t>
      </w:r>
      <w:r w:rsidR="00396BC4">
        <w:t xml:space="preserve"> to</w:t>
      </w:r>
      <w:r w:rsidR="00947689">
        <w:t xml:space="preserve"> external examiner</w:t>
      </w:r>
      <w:r w:rsidR="00396BC4">
        <w:t>s</w:t>
      </w:r>
      <w:bookmarkEnd w:id="52"/>
      <w:bookmarkEnd w:id="53"/>
    </w:p>
    <w:p w14:paraId="414F4A60" w14:textId="1C9D7892" w:rsidR="007B730B" w:rsidRDefault="00E141C2" w:rsidP="007B730B">
      <w:pPr>
        <w:pStyle w:val="ListParagraph"/>
        <w:numPr>
          <w:ilvl w:val="0"/>
          <w:numId w:val="11"/>
        </w:numPr>
        <w:spacing w:before="0" w:line="240" w:lineRule="auto"/>
      </w:pPr>
      <w:r>
        <w:t>The key course contact should discuss any issues arising from the external examiner’s audit of student work and the annual report appropriately during the academic year. This could be at the annual schedule of work meeting or at other designated point</w:t>
      </w:r>
      <w:r w:rsidR="00E86B8F">
        <w:t>s</w:t>
      </w:r>
      <w:r>
        <w:t xml:space="preserve"> in the year through correspondence, meetings or calls. The key course contact should involve the University and/or Partner Liaison Officer as needed for franchised or validated provision. </w:t>
      </w:r>
    </w:p>
    <w:p w14:paraId="5A0F5056" w14:textId="77777777" w:rsidR="007B730B" w:rsidRDefault="007B730B" w:rsidP="00455C62">
      <w:pPr>
        <w:pStyle w:val="ListParagraph"/>
        <w:spacing w:before="0" w:line="240" w:lineRule="auto"/>
      </w:pPr>
    </w:p>
    <w:p w14:paraId="17917821" w14:textId="0371ABC3" w:rsidR="00B815B9" w:rsidRDefault="005E1819" w:rsidP="00D81642">
      <w:pPr>
        <w:pStyle w:val="ListParagraph"/>
        <w:numPr>
          <w:ilvl w:val="0"/>
          <w:numId w:val="11"/>
        </w:numPr>
        <w:spacing w:before="0" w:line="240" w:lineRule="auto"/>
      </w:pPr>
      <w:r>
        <w:t>Where</w:t>
      </w:r>
      <w:r w:rsidR="0050534B">
        <w:t xml:space="preserve"> a</w:t>
      </w:r>
      <w:r w:rsidR="001F710D">
        <w:t xml:space="preserve"> course is accredited and the </w:t>
      </w:r>
      <w:r w:rsidR="0050534B" w:rsidRPr="00AF4C39">
        <w:t xml:space="preserve">professional, </w:t>
      </w:r>
      <w:r w:rsidR="004E0A8C" w:rsidRPr="00AF4C39">
        <w:t>statutory</w:t>
      </w:r>
      <w:r w:rsidR="004E0A8C">
        <w:t xml:space="preserve"> </w:t>
      </w:r>
      <w:r w:rsidR="0050534B" w:rsidRPr="00AF4C39">
        <w:t>and regulatory body</w:t>
      </w:r>
      <w:r w:rsidR="0050534B">
        <w:t xml:space="preserve"> requires a written response to external examiner </w:t>
      </w:r>
      <w:r w:rsidR="00396BC4">
        <w:t xml:space="preserve">annual </w:t>
      </w:r>
      <w:r w:rsidR="0050534B">
        <w:t>reports,</w:t>
      </w:r>
      <w:r w:rsidR="006558AD">
        <w:t xml:space="preserve"> a response should be sent as required by the PSRB. This should be managed by the course team</w:t>
      </w:r>
      <w:r w:rsidR="001F710D">
        <w:t>.</w:t>
      </w:r>
      <w:r w:rsidR="00D9043E">
        <w:t xml:space="preserve"> QAE should be </w:t>
      </w:r>
      <w:r w:rsidR="006A3F9F">
        <w:t xml:space="preserve">sent a copy of the response for storage and easy retrieval during reaccreditation </w:t>
      </w:r>
      <w:r w:rsidR="00105646">
        <w:t>process.</w:t>
      </w:r>
      <w:r w:rsidR="00105646" w:rsidRPr="00F4131B">
        <w:t xml:space="preserve"> For</w:t>
      </w:r>
      <w:r w:rsidR="00675A9D" w:rsidRPr="00F4131B">
        <w:t xml:space="preserve"> subject external examiner </w:t>
      </w:r>
      <w:r w:rsidR="00EB69C2">
        <w:t xml:space="preserve">annual </w:t>
      </w:r>
      <w:r w:rsidR="00675A9D" w:rsidRPr="00F4131B">
        <w:t>reports, the school/department must ensure that they are considered</w:t>
      </w:r>
      <w:r w:rsidR="00675A9D" w:rsidRPr="00F4131B">
        <w:fldChar w:fldCharType="begin"/>
      </w:r>
      <w:r w:rsidR="00675A9D" w:rsidRPr="00F4131B">
        <w:instrText xml:space="preserve"> XE "Board of Study:BoS" </w:instrText>
      </w:r>
      <w:r w:rsidR="00675A9D" w:rsidRPr="00F4131B">
        <w:fldChar w:fldCharType="end"/>
      </w:r>
      <w:r w:rsidR="00675A9D" w:rsidRPr="00F4131B">
        <w:t xml:space="preserve"> as part of the </w:t>
      </w:r>
      <w:r w:rsidR="0093724A">
        <w:t>Kingston Continuous Enhancement Programme (KCEP</w:t>
      </w:r>
      <w:r w:rsidR="00105646">
        <w:t>).</w:t>
      </w:r>
      <w:r w:rsidR="00675A9D" w:rsidRPr="00F4131B">
        <w:t xml:space="preserve"> </w:t>
      </w:r>
    </w:p>
    <w:p w14:paraId="020236CD" w14:textId="77777777" w:rsidR="00B815B9" w:rsidRDefault="00B815B9" w:rsidP="00B815B9">
      <w:pPr>
        <w:pStyle w:val="ListParagraph"/>
        <w:spacing w:before="0" w:line="240" w:lineRule="auto"/>
      </w:pPr>
    </w:p>
    <w:p w14:paraId="46782271" w14:textId="1032FAD4" w:rsidR="00695189" w:rsidRPr="00F4131B" w:rsidRDefault="00695189" w:rsidP="00BD1EEB">
      <w:pPr>
        <w:pStyle w:val="ListParagraph"/>
        <w:numPr>
          <w:ilvl w:val="0"/>
          <w:numId w:val="11"/>
        </w:numPr>
        <w:spacing w:before="0" w:line="240" w:lineRule="auto"/>
      </w:pPr>
      <w:r w:rsidRPr="00F4131B">
        <w:t xml:space="preserve">If a subject external examiner’s </w:t>
      </w:r>
      <w:r w:rsidR="00EB69C2">
        <w:t xml:space="preserve">annual </w:t>
      </w:r>
      <w:r w:rsidRPr="00F4131B">
        <w:t>report highlights any issues of serious concern, QAE will alert the Head of Quality Assurance and Enhancement and Pro Vice-Chancellor</w:t>
      </w:r>
      <w:r w:rsidRPr="00F4131B">
        <w:fldChar w:fldCharType="begin"/>
      </w:r>
      <w:r w:rsidRPr="00F4131B">
        <w:instrText xml:space="preserve"> XE "Vice-Chancellor:VC" </w:instrText>
      </w:r>
      <w:r w:rsidRPr="00F4131B">
        <w:fldChar w:fldCharType="end"/>
      </w:r>
      <w:r w:rsidRPr="00F4131B">
        <w:t xml:space="preserve"> (Education) and write to the Faculty requesting a</w:t>
      </w:r>
      <w:r w:rsidR="0093724A">
        <w:t>n urgent</w:t>
      </w:r>
      <w:r w:rsidRPr="00F4131B">
        <w:t xml:space="preserve"> response to the external examiner for approval by the </w:t>
      </w:r>
      <w:r w:rsidR="00872409">
        <w:t xml:space="preserve">Head of School, </w:t>
      </w:r>
      <w:r w:rsidRPr="00F4131B">
        <w:t xml:space="preserve">Head of Quality Assurance and Enhancement and </w:t>
      </w:r>
      <w:r w:rsidRPr="00F4131B">
        <w:fldChar w:fldCharType="begin"/>
      </w:r>
      <w:r w:rsidRPr="00F4131B">
        <w:instrText xml:space="preserve"> XE "Vice-Chancellor:VC" </w:instrText>
      </w:r>
      <w:r w:rsidRPr="00F4131B">
        <w:fldChar w:fldCharType="end"/>
      </w:r>
      <w:r w:rsidRPr="00F4131B">
        <w:t>Pro Vice-Chancellor</w:t>
      </w:r>
      <w:r w:rsidRPr="00F4131B">
        <w:fldChar w:fldCharType="begin"/>
      </w:r>
      <w:r w:rsidRPr="00F4131B">
        <w:instrText xml:space="preserve"> XE "Vice-Chancellor:VC" </w:instrText>
      </w:r>
      <w:r w:rsidRPr="00F4131B">
        <w:fldChar w:fldCharType="end"/>
      </w:r>
      <w:r w:rsidRPr="00F4131B">
        <w:t xml:space="preserve"> (Education).   If necessary, a separate letter will also be sent to the external examiner from the Pro Vice-Chancellor</w:t>
      </w:r>
      <w:r w:rsidRPr="00F4131B">
        <w:fldChar w:fldCharType="begin"/>
      </w:r>
      <w:r w:rsidRPr="00F4131B">
        <w:instrText xml:space="preserve"> XE "Vice-Chancellor:VC" </w:instrText>
      </w:r>
      <w:r w:rsidRPr="00F4131B">
        <w:fldChar w:fldCharType="end"/>
      </w:r>
      <w:r w:rsidRPr="00F4131B">
        <w:t xml:space="preserve"> (Education)</w:t>
      </w:r>
      <w:r w:rsidRPr="00F4131B">
        <w:fldChar w:fldCharType="begin"/>
      </w:r>
      <w:r w:rsidRPr="00F4131B">
        <w:instrText xml:space="preserve"> XE "Vice-Chancellor:VC" </w:instrText>
      </w:r>
      <w:r w:rsidRPr="00F4131B">
        <w:fldChar w:fldCharType="end"/>
      </w:r>
      <w:r w:rsidRPr="00F4131B">
        <w:t>. The external examiner will be notified of this process. The Pro Vice-Chancellor (Education)</w:t>
      </w:r>
      <w:r w:rsidRPr="00F4131B">
        <w:fldChar w:fldCharType="begin"/>
      </w:r>
      <w:r w:rsidRPr="00F4131B">
        <w:instrText xml:space="preserve"> XE "Vice-Chancellor:VC" </w:instrText>
      </w:r>
      <w:r w:rsidRPr="00F4131B">
        <w:fldChar w:fldCharType="end"/>
      </w:r>
      <w:r w:rsidRPr="00F4131B">
        <w:t xml:space="preserve"> may instigate an IQA (see section </w:t>
      </w:r>
      <w:r w:rsidR="0093724A">
        <w:t>F</w:t>
      </w:r>
      <w:r w:rsidRPr="00F4131B">
        <w:t>) if comments suggest that there are other related matters to investigate.</w:t>
      </w:r>
    </w:p>
    <w:p w14:paraId="6A3FEECA" w14:textId="77777777" w:rsidR="00B815B9" w:rsidRDefault="00B815B9" w:rsidP="00B815B9">
      <w:pPr>
        <w:pStyle w:val="ListParagraph"/>
        <w:spacing w:before="0" w:line="240" w:lineRule="auto"/>
      </w:pPr>
    </w:p>
    <w:p w14:paraId="3060BBEC" w14:textId="4DA728BA" w:rsidR="00947689" w:rsidRPr="00F4131B" w:rsidRDefault="00F97A8E" w:rsidP="00BD1EEB">
      <w:pPr>
        <w:pStyle w:val="ListParagraph"/>
        <w:numPr>
          <w:ilvl w:val="0"/>
          <w:numId w:val="11"/>
        </w:numPr>
        <w:spacing w:before="0" w:line="240" w:lineRule="auto"/>
      </w:pPr>
      <w:r w:rsidRPr="00F4131B">
        <w:t>It is the responsibility of QAE to provide a response to PAB</w:t>
      </w:r>
      <w:r w:rsidR="002A20C5">
        <w:t xml:space="preserve"> and </w:t>
      </w:r>
      <w:r w:rsidR="006B10DF">
        <w:t>HDA</w:t>
      </w:r>
      <w:r w:rsidRPr="00F4131B">
        <w:t xml:space="preserve"> external examiners’ annual reports</w:t>
      </w:r>
      <w:r w:rsidR="00936A9E">
        <w:t xml:space="preserve"> within 6 weeks of receipt of the report</w:t>
      </w:r>
      <w:r w:rsidRPr="00F4131B">
        <w:t xml:space="preserve">. The response should be written in consultation with the </w:t>
      </w:r>
      <w:r w:rsidR="00FE2E57">
        <w:t>RASC</w:t>
      </w:r>
      <w:r w:rsidRPr="00F4131B">
        <w:t xml:space="preserve"> team</w:t>
      </w:r>
      <w:r w:rsidR="00FE2E57">
        <w:t xml:space="preserve"> for PAB external examiners</w:t>
      </w:r>
      <w:r w:rsidRPr="00F4131B">
        <w:t xml:space="preserve">. </w:t>
      </w:r>
    </w:p>
    <w:p w14:paraId="3958F0D8" w14:textId="77777777" w:rsidR="00B815B9" w:rsidRDefault="00B815B9" w:rsidP="00B815B9">
      <w:pPr>
        <w:pStyle w:val="ListParagraph"/>
        <w:spacing w:before="0" w:line="240" w:lineRule="auto"/>
      </w:pPr>
    </w:p>
    <w:p w14:paraId="61E025F4" w14:textId="0ECD4BEB" w:rsidR="00467EA8" w:rsidRPr="00F4131B" w:rsidRDefault="4F4BF15D" w:rsidP="00BD1EEB">
      <w:pPr>
        <w:pStyle w:val="ListParagraph"/>
        <w:numPr>
          <w:ilvl w:val="0"/>
          <w:numId w:val="11"/>
        </w:numPr>
        <w:spacing w:before="0" w:line="240" w:lineRule="auto"/>
      </w:pPr>
      <w:r>
        <w:t>If a PAB</w:t>
      </w:r>
      <w:r w:rsidR="79AD7DA8">
        <w:t>/</w:t>
      </w:r>
      <w:r w:rsidR="006B10DF">
        <w:t>HDA</w:t>
      </w:r>
      <w:r>
        <w:t xml:space="preserve"> external examiner’s </w:t>
      </w:r>
      <w:r w:rsidR="7870BC9E">
        <w:t xml:space="preserve">annual </w:t>
      </w:r>
      <w:r>
        <w:t xml:space="preserve">report highlights any issues of </w:t>
      </w:r>
      <w:r>
        <w:lastRenderedPageBreak/>
        <w:t>serious concern, QAE will alert the Head of Quality Assurance and Enhancement and Pro Vice-Chancellor</w:t>
      </w:r>
      <w:r w:rsidR="00695189">
        <w:fldChar w:fldCharType="begin"/>
      </w:r>
      <w:r w:rsidR="00695189">
        <w:instrText xml:space="preserve"> XE "Vice-Chancellor:VC" </w:instrText>
      </w:r>
      <w:r w:rsidR="00695189">
        <w:fldChar w:fldCharType="end"/>
      </w:r>
      <w:r>
        <w:t xml:space="preserve"> (Education) and will draft a response in liaison with </w:t>
      </w:r>
      <w:r w:rsidR="00755407">
        <w:t>RASC</w:t>
      </w:r>
      <w:r>
        <w:t xml:space="preserve"> for approval by the Pro Vice-Chancellor</w:t>
      </w:r>
      <w:r w:rsidR="00695189">
        <w:fldChar w:fldCharType="begin"/>
      </w:r>
      <w:r w:rsidR="00695189">
        <w:instrText xml:space="preserve"> XE "Vice-Chancellor:VC" </w:instrText>
      </w:r>
      <w:r w:rsidR="00695189">
        <w:fldChar w:fldCharType="end"/>
      </w:r>
      <w:r>
        <w:t xml:space="preserve"> (Education). The external examiner will be notified of this process. The Pro Vice-Chancellor (Education)</w:t>
      </w:r>
      <w:r w:rsidR="00695189">
        <w:fldChar w:fldCharType="begin"/>
      </w:r>
      <w:r w:rsidR="00695189">
        <w:instrText xml:space="preserve"> XE "Vice-Chancellor:VC" </w:instrText>
      </w:r>
      <w:r w:rsidR="00695189">
        <w:fldChar w:fldCharType="end"/>
      </w:r>
      <w:r>
        <w:t xml:space="preserve"> may instigate an IQA (see section E) if comments suggest that there are other related matters to investigate.</w:t>
      </w:r>
    </w:p>
    <w:p w14:paraId="723360D9" w14:textId="77777777" w:rsidR="00B815B9" w:rsidRPr="00B815B9" w:rsidRDefault="00B815B9" w:rsidP="00B815B9">
      <w:pPr>
        <w:pStyle w:val="ListParagraph"/>
        <w:spacing w:before="0" w:line="240" w:lineRule="auto"/>
        <w:rPr>
          <w:color w:val="FF0000"/>
        </w:rPr>
      </w:pPr>
    </w:p>
    <w:p w14:paraId="44971E17" w14:textId="77777777" w:rsidR="00947689" w:rsidRDefault="00947689" w:rsidP="00BD1EEB">
      <w:pPr>
        <w:pStyle w:val="xmsolistparagraph"/>
        <w:ind w:left="0"/>
        <w:rPr>
          <w:rFonts w:ascii="Arial" w:eastAsia="Times New Roman" w:hAnsi="Arial" w:cs="Arial"/>
        </w:rPr>
      </w:pPr>
    </w:p>
    <w:p w14:paraId="6AD41851" w14:textId="77E9D64E" w:rsidR="004506FC" w:rsidRPr="0025408F" w:rsidRDefault="004506FC" w:rsidP="0025408F">
      <w:pPr>
        <w:pStyle w:val="xmsonormal"/>
        <w:rPr>
          <w:rFonts w:ascii="Arial" w:hAnsi="Arial" w:cs="Arial"/>
        </w:rPr>
      </w:pPr>
      <w:r w:rsidRPr="008A0FF9">
        <w:rPr>
          <w:rFonts w:ascii="Arial" w:hAnsi="Arial" w:cs="Arial"/>
        </w:rPr>
        <w:t> </w:t>
      </w:r>
    </w:p>
    <w:sectPr w:rsidR="004506FC" w:rsidRPr="002540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423D2" w14:textId="77777777" w:rsidR="00F217B7" w:rsidRDefault="00F217B7" w:rsidP="00153E43">
      <w:pPr>
        <w:spacing w:line="240" w:lineRule="auto"/>
      </w:pPr>
      <w:r>
        <w:separator/>
      </w:r>
    </w:p>
  </w:endnote>
  <w:endnote w:type="continuationSeparator" w:id="0">
    <w:p w14:paraId="03827CF4" w14:textId="77777777" w:rsidR="00F217B7" w:rsidRDefault="00F217B7" w:rsidP="00153E43">
      <w:pPr>
        <w:spacing w:line="240" w:lineRule="auto"/>
      </w:pPr>
      <w:r>
        <w:continuationSeparator/>
      </w:r>
    </w:p>
  </w:endnote>
  <w:endnote w:type="continuationNotice" w:id="1">
    <w:p w14:paraId="685611D3" w14:textId="77777777" w:rsidR="00F217B7" w:rsidRDefault="00F217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5AD14" w14:textId="4DEAFD56" w:rsidR="006B16D2" w:rsidRPr="00390F5A" w:rsidRDefault="006B16D2" w:rsidP="006B16D2">
    <w:pPr>
      <w:pStyle w:val="Footer"/>
      <w:pBdr>
        <w:top w:val="single" w:sz="4" w:space="1" w:color="auto"/>
      </w:pBdr>
      <w:tabs>
        <w:tab w:val="center" w:pos="7513"/>
      </w:tabs>
      <w:rPr>
        <w:sz w:val="16"/>
      </w:rPr>
    </w:pPr>
    <w:r>
      <w:rPr>
        <w:rFonts w:cs="Arial"/>
        <w:sz w:val="16"/>
        <w:szCs w:val="16"/>
      </w:rPr>
      <w:t>AQSH:  Section I</w:t>
    </w:r>
    <w:r>
      <w:rPr>
        <w:rFonts w:cs="Arial"/>
        <w:sz w:val="16"/>
        <w:szCs w:val="16"/>
      </w:rPr>
      <w:tab/>
    </w:r>
    <w:r w:rsidR="00390F5A">
      <w:rPr>
        <w:sz w:val="16"/>
      </w:rPr>
      <w:t>202</w:t>
    </w:r>
    <w:r w:rsidR="004609EB">
      <w:rPr>
        <w:sz w:val="16"/>
      </w:rPr>
      <w:t>5-26</w:t>
    </w:r>
    <w:r>
      <w:rPr>
        <w:rFonts w:cs="Arial"/>
        <w:sz w:val="16"/>
        <w:szCs w:val="16"/>
      </w:rPr>
      <w:tab/>
    </w:r>
    <w:r>
      <w:rPr>
        <w:rFonts w:cs="Arial"/>
        <w:sz w:val="16"/>
        <w:szCs w:val="16"/>
      </w:rPr>
      <w:tab/>
    </w:r>
    <w:r w:rsidRPr="00110C58">
      <w:rPr>
        <w:rFonts w:cs="Arial"/>
        <w:sz w:val="16"/>
        <w:szCs w:val="16"/>
      </w:rPr>
      <w:t xml:space="preserve">Page </w:t>
    </w:r>
    <w:r w:rsidRPr="00110C58">
      <w:rPr>
        <w:rFonts w:cs="Arial"/>
        <w:b/>
        <w:sz w:val="16"/>
        <w:szCs w:val="16"/>
      </w:rPr>
      <w:fldChar w:fldCharType="begin"/>
    </w:r>
    <w:r w:rsidRPr="00110C58">
      <w:rPr>
        <w:rFonts w:cs="Arial"/>
        <w:b/>
        <w:sz w:val="16"/>
        <w:szCs w:val="16"/>
      </w:rPr>
      <w:instrText xml:space="preserve"> PAGE </w:instrText>
    </w:r>
    <w:r w:rsidRPr="00110C58">
      <w:rPr>
        <w:rFonts w:cs="Arial"/>
        <w:b/>
        <w:sz w:val="16"/>
        <w:szCs w:val="16"/>
      </w:rPr>
      <w:fldChar w:fldCharType="separate"/>
    </w:r>
    <w:r>
      <w:rPr>
        <w:rFonts w:cs="Arial"/>
        <w:b/>
        <w:sz w:val="16"/>
        <w:szCs w:val="16"/>
      </w:rPr>
      <w:t>1</w:t>
    </w:r>
    <w:r w:rsidRPr="00110C58">
      <w:rPr>
        <w:rFonts w:cs="Arial"/>
        <w:b/>
        <w:sz w:val="16"/>
        <w:szCs w:val="16"/>
      </w:rPr>
      <w:fldChar w:fldCharType="end"/>
    </w:r>
    <w:r w:rsidRPr="00110C58">
      <w:rPr>
        <w:rFonts w:cs="Arial"/>
        <w:sz w:val="16"/>
        <w:szCs w:val="16"/>
      </w:rPr>
      <w:t xml:space="preserve"> of </w:t>
    </w:r>
    <w:r w:rsidRPr="00110C58">
      <w:rPr>
        <w:rFonts w:cs="Arial"/>
        <w:b/>
        <w:sz w:val="16"/>
        <w:szCs w:val="16"/>
      </w:rPr>
      <w:fldChar w:fldCharType="begin"/>
    </w:r>
    <w:r w:rsidRPr="00110C58">
      <w:rPr>
        <w:rFonts w:cs="Arial"/>
        <w:b/>
        <w:sz w:val="16"/>
        <w:szCs w:val="16"/>
      </w:rPr>
      <w:instrText xml:space="preserve"> NUMPAGES  </w:instrText>
    </w:r>
    <w:r w:rsidRPr="00110C58">
      <w:rPr>
        <w:rFonts w:cs="Arial"/>
        <w:b/>
        <w:sz w:val="16"/>
        <w:szCs w:val="16"/>
      </w:rPr>
      <w:fldChar w:fldCharType="separate"/>
    </w:r>
    <w:r>
      <w:rPr>
        <w:rFonts w:cs="Arial"/>
        <w:b/>
        <w:sz w:val="16"/>
        <w:szCs w:val="16"/>
      </w:rPr>
      <w:t>12</w:t>
    </w:r>
    <w:r w:rsidRPr="00110C58">
      <w:rPr>
        <w:rFonts w:cs="Arial"/>
        <w:b/>
        <w:sz w:val="16"/>
        <w:szCs w:val="16"/>
      </w:rPr>
      <w:fldChar w:fldCharType="end"/>
    </w:r>
  </w:p>
  <w:p w14:paraId="6B931BAD" w14:textId="77777777" w:rsidR="006B16D2" w:rsidRDefault="006B1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CB130" w14:textId="77777777" w:rsidR="00F217B7" w:rsidRDefault="00F217B7" w:rsidP="00153E43">
      <w:pPr>
        <w:spacing w:line="240" w:lineRule="auto"/>
      </w:pPr>
      <w:r>
        <w:separator/>
      </w:r>
    </w:p>
  </w:footnote>
  <w:footnote w:type="continuationSeparator" w:id="0">
    <w:p w14:paraId="4079970A" w14:textId="77777777" w:rsidR="00F217B7" w:rsidRDefault="00F217B7" w:rsidP="00153E43">
      <w:pPr>
        <w:spacing w:line="240" w:lineRule="auto"/>
      </w:pPr>
      <w:r>
        <w:continuationSeparator/>
      </w:r>
    </w:p>
  </w:footnote>
  <w:footnote w:type="continuationNotice" w:id="1">
    <w:p w14:paraId="1A7E5A29" w14:textId="77777777" w:rsidR="00F217B7" w:rsidRDefault="00F217B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63"/>
    <w:multiLevelType w:val="hybridMultilevel"/>
    <w:tmpl w:val="97DC6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26469"/>
    <w:multiLevelType w:val="hybridMultilevel"/>
    <w:tmpl w:val="9F341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B46FE"/>
    <w:multiLevelType w:val="hybridMultilevel"/>
    <w:tmpl w:val="91E0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262F4"/>
    <w:multiLevelType w:val="hybridMultilevel"/>
    <w:tmpl w:val="E988BC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977788"/>
    <w:multiLevelType w:val="hybridMultilevel"/>
    <w:tmpl w:val="BB2C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F44AE"/>
    <w:multiLevelType w:val="hybridMultilevel"/>
    <w:tmpl w:val="21C4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1B2C3B"/>
    <w:multiLevelType w:val="hybridMultilevel"/>
    <w:tmpl w:val="23E46EF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C4A66D6"/>
    <w:multiLevelType w:val="hybridMultilevel"/>
    <w:tmpl w:val="F816E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14924"/>
    <w:multiLevelType w:val="hybridMultilevel"/>
    <w:tmpl w:val="595EF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512F9C"/>
    <w:multiLevelType w:val="hybridMultilevel"/>
    <w:tmpl w:val="41B4E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264D4"/>
    <w:multiLevelType w:val="hybridMultilevel"/>
    <w:tmpl w:val="BA140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E79C4"/>
    <w:multiLevelType w:val="hybridMultilevel"/>
    <w:tmpl w:val="69B84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081D88"/>
    <w:multiLevelType w:val="hybridMultilevel"/>
    <w:tmpl w:val="48183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4A3A05"/>
    <w:multiLevelType w:val="hybridMultilevel"/>
    <w:tmpl w:val="3B3E3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AE50E7"/>
    <w:multiLevelType w:val="hybridMultilevel"/>
    <w:tmpl w:val="D99AA1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3832A1"/>
    <w:multiLevelType w:val="hybridMultilevel"/>
    <w:tmpl w:val="12B2A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934F97"/>
    <w:multiLevelType w:val="hybridMultilevel"/>
    <w:tmpl w:val="11F42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3750FA5"/>
    <w:multiLevelType w:val="hybridMultilevel"/>
    <w:tmpl w:val="B510A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59650AA"/>
    <w:multiLevelType w:val="hybridMultilevel"/>
    <w:tmpl w:val="84B22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D54558"/>
    <w:multiLevelType w:val="hybridMultilevel"/>
    <w:tmpl w:val="ED66F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CD73F7"/>
    <w:multiLevelType w:val="hybridMultilevel"/>
    <w:tmpl w:val="1AB62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340D5"/>
    <w:multiLevelType w:val="hybridMultilevel"/>
    <w:tmpl w:val="D174F81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56E01437"/>
    <w:multiLevelType w:val="hybridMultilevel"/>
    <w:tmpl w:val="771E2074"/>
    <w:lvl w:ilvl="0" w:tplc="6A3CDB82">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402608"/>
    <w:multiLevelType w:val="hybridMultilevel"/>
    <w:tmpl w:val="897036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C37B0"/>
    <w:multiLevelType w:val="hybridMultilevel"/>
    <w:tmpl w:val="0EE6C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5167F6"/>
    <w:multiLevelType w:val="hybridMultilevel"/>
    <w:tmpl w:val="3190D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052F2F"/>
    <w:multiLevelType w:val="hybridMultilevel"/>
    <w:tmpl w:val="5D0ABD4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AB3235F"/>
    <w:multiLevelType w:val="hybridMultilevel"/>
    <w:tmpl w:val="5AE22A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13A7B43"/>
    <w:multiLevelType w:val="hybridMultilevel"/>
    <w:tmpl w:val="83781ECE"/>
    <w:lvl w:ilvl="0" w:tplc="08090001">
      <w:start w:val="1"/>
      <w:numFmt w:val="bullet"/>
      <w:lvlText w:val=""/>
      <w:lvlJc w:val="left"/>
      <w:pPr>
        <w:ind w:left="720" w:hanging="360"/>
      </w:pPr>
      <w:rPr>
        <w:rFonts w:ascii="Symbol" w:hAnsi="Symbol"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EB3FE4"/>
    <w:multiLevelType w:val="hybridMultilevel"/>
    <w:tmpl w:val="9D043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5781391">
    <w:abstractNumId w:val="17"/>
  </w:num>
  <w:num w:numId="2" w16cid:durableId="1417705639">
    <w:abstractNumId w:val="27"/>
  </w:num>
  <w:num w:numId="3" w16cid:durableId="864293053">
    <w:abstractNumId w:val="29"/>
  </w:num>
  <w:num w:numId="4" w16cid:durableId="1423528343">
    <w:abstractNumId w:val="11"/>
  </w:num>
  <w:num w:numId="5" w16cid:durableId="856307857">
    <w:abstractNumId w:val="14"/>
  </w:num>
  <w:num w:numId="6" w16cid:durableId="706099194">
    <w:abstractNumId w:val="5"/>
  </w:num>
  <w:num w:numId="7" w16cid:durableId="1928031560">
    <w:abstractNumId w:val="23"/>
  </w:num>
  <w:num w:numId="8" w16cid:durableId="1101222674">
    <w:abstractNumId w:val="4"/>
  </w:num>
  <w:num w:numId="9" w16cid:durableId="1172064854">
    <w:abstractNumId w:val="2"/>
  </w:num>
  <w:num w:numId="10" w16cid:durableId="227694525">
    <w:abstractNumId w:val="16"/>
  </w:num>
  <w:num w:numId="11" w16cid:durableId="1445924311">
    <w:abstractNumId w:val="22"/>
  </w:num>
  <w:num w:numId="12" w16cid:durableId="395662014">
    <w:abstractNumId w:val="8"/>
  </w:num>
  <w:num w:numId="13" w16cid:durableId="344065158">
    <w:abstractNumId w:val="24"/>
  </w:num>
  <w:num w:numId="14" w16cid:durableId="17127927">
    <w:abstractNumId w:val="7"/>
  </w:num>
  <w:num w:numId="15" w16cid:durableId="1229683827">
    <w:abstractNumId w:val="12"/>
  </w:num>
  <w:num w:numId="16" w16cid:durableId="1822186775">
    <w:abstractNumId w:val="13"/>
  </w:num>
  <w:num w:numId="17" w16cid:durableId="1698966798">
    <w:abstractNumId w:val="9"/>
  </w:num>
  <w:num w:numId="18" w16cid:durableId="122502223">
    <w:abstractNumId w:val="15"/>
  </w:num>
  <w:num w:numId="19" w16cid:durableId="1377512614">
    <w:abstractNumId w:val="25"/>
  </w:num>
  <w:num w:numId="20" w16cid:durableId="1215703277">
    <w:abstractNumId w:val="18"/>
  </w:num>
  <w:num w:numId="21" w16cid:durableId="2067028494">
    <w:abstractNumId w:val="10"/>
  </w:num>
  <w:num w:numId="22" w16cid:durableId="1647314874">
    <w:abstractNumId w:val="0"/>
  </w:num>
  <w:num w:numId="23" w16cid:durableId="843132418">
    <w:abstractNumId w:val="19"/>
  </w:num>
  <w:num w:numId="24" w16cid:durableId="991367840">
    <w:abstractNumId w:val="20"/>
  </w:num>
  <w:num w:numId="25" w16cid:durableId="407774177">
    <w:abstractNumId w:val="1"/>
  </w:num>
  <w:num w:numId="26" w16cid:durableId="1845708691">
    <w:abstractNumId w:val="28"/>
  </w:num>
  <w:num w:numId="27" w16cid:durableId="821046555">
    <w:abstractNumId w:val="26"/>
  </w:num>
  <w:num w:numId="28" w16cid:durableId="1935360896">
    <w:abstractNumId w:val="3"/>
  </w:num>
  <w:num w:numId="29" w16cid:durableId="1795824882">
    <w:abstractNumId w:val="21"/>
  </w:num>
  <w:num w:numId="30" w16cid:durableId="79390817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43"/>
    <w:rsid w:val="00011659"/>
    <w:rsid w:val="00015B3A"/>
    <w:rsid w:val="00023B1C"/>
    <w:rsid w:val="00030028"/>
    <w:rsid w:val="000321BD"/>
    <w:rsid w:val="0004055A"/>
    <w:rsid w:val="0004247F"/>
    <w:rsid w:val="00051410"/>
    <w:rsid w:val="00051F4C"/>
    <w:rsid w:val="0005393E"/>
    <w:rsid w:val="00054AF4"/>
    <w:rsid w:val="0005513D"/>
    <w:rsid w:val="000651E8"/>
    <w:rsid w:val="000661DD"/>
    <w:rsid w:val="00072B14"/>
    <w:rsid w:val="00073ACC"/>
    <w:rsid w:val="000769F0"/>
    <w:rsid w:val="0008019E"/>
    <w:rsid w:val="000807C1"/>
    <w:rsid w:val="00086316"/>
    <w:rsid w:val="00090FD6"/>
    <w:rsid w:val="0009257F"/>
    <w:rsid w:val="00093D55"/>
    <w:rsid w:val="00094995"/>
    <w:rsid w:val="00094AC1"/>
    <w:rsid w:val="00095630"/>
    <w:rsid w:val="000A0BB7"/>
    <w:rsid w:val="000A0C82"/>
    <w:rsid w:val="000A4BCC"/>
    <w:rsid w:val="000A4D4D"/>
    <w:rsid w:val="000A595D"/>
    <w:rsid w:val="000B0AFC"/>
    <w:rsid w:val="000B1824"/>
    <w:rsid w:val="000B5198"/>
    <w:rsid w:val="000C1844"/>
    <w:rsid w:val="000C437D"/>
    <w:rsid w:val="000C45C4"/>
    <w:rsid w:val="000C5564"/>
    <w:rsid w:val="000D1193"/>
    <w:rsid w:val="000D3604"/>
    <w:rsid w:val="000E089D"/>
    <w:rsid w:val="000E49B0"/>
    <w:rsid w:val="000E77B7"/>
    <w:rsid w:val="000F023F"/>
    <w:rsid w:val="000F7793"/>
    <w:rsid w:val="000F7CDD"/>
    <w:rsid w:val="00105646"/>
    <w:rsid w:val="00106003"/>
    <w:rsid w:val="0011175C"/>
    <w:rsid w:val="00113C13"/>
    <w:rsid w:val="00114882"/>
    <w:rsid w:val="00115733"/>
    <w:rsid w:val="0011761B"/>
    <w:rsid w:val="00117C65"/>
    <w:rsid w:val="00122F9E"/>
    <w:rsid w:val="001267B4"/>
    <w:rsid w:val="00136BD6"/>
    <w:rsid w:val="00143D7E"/>
    <w:rsid w:val="00151CD4"/>
    <w:rsid w:val="00153E43"/>
    <w:rsid w:val="00156AC6"/>
    <w:rsid w:val="00161E3B"/>
    <w:rsid w:val="001620BB"/>
    <w:rsid w:val="001624F7"/>
    <w:rsid w:val="0016359C"/>
    <w:rsid w:val="0016520D"/>
    <w:rsid w:val="001839D4"/>
    <w:rsid w:val="001869D4"/>
    <w:rsid w:val="00187363"/>
    <w:rsid w:val="00190F2D"/>
    <w:rsid w:val="001910F8"/>
    <w:rsid w:val="001947C2"/>
    <w:rsid w:val="00194BF7"/>
    <w:rsid w:val="001A045D"/>
    <w:rsid w:val="001A3CBF"/>
    <w:rsid w:val="001A56CF"/>
    <w:rsid w:val="001A56EC"/>
    <w:rsid w:val="001A6ECA"/>
    <w:rsid w:val="001A7FF2"/>
    <w:rsid w:val="001B1CDA"/>
    <w:rsid w:val="001B1DC3"/>
    <w:rsid w:val="001B23DF"/>
    <w:rsid w:val="001B4081"/>
    <w:rsid w:val="001C1475"/>
    <w:rsid w:val="001C5900"/>
    <w:rsid w:val="001C6B30"/>
    <w:rsid w:val="001D2468"/>
    <w:rsid w:val="001D5A1B"/>
    <w:rsid w:val="001D7882"/>
    <w:rsid w:val="001D7BA3"/>
    <w:rsid w:val="001E1A11"/>
    <w:rsid w:val="001E4F25"/>
    <w:rsid w:val="001E5B1F"/>
    <w:rsid w:val="001F2FA3"/>
    <w:rsid w:val="001F5650"/>
    <w:rsid w:val="001F710D"/>
    <w:rsid w:val="00202812"/>
    <w:rsid w:val="00203740"/>
    <w:rsid w:val="0020517E"/>
    <w:rsid w:val="002068ED"/>
    <w:rsid w:val="002107F1"/>
    <w:rsid w:val="00210B1B"/>
    <w:rsid w:val="00217462"/>
    <w:rsid w:val="00221CDE"/>
    <w:rsid w:val="00223E6C"/>
    <w:rsid w:val="002252CF"/>
    <w:rsid w:val="0023137E"/>
    <w:rsid w:val="002340A7"/>
    <w:rsid w:val="00234164"/>
    <w:rsid w:val="00236CA8"/>
    <w:rsid w:val="002400C3"/>
    <w:rsid w:val="002455ED"/>
    <w:rsid w:val="00245F97"/>
    <w:rsid w:val="002464FA"/>
    <w:rsid w:val="00247CB8"/>
    <w:rsid w:val="00250270"/>
    <w:rsid w:val="0025358D"/>
    <w:rsid w:val="0025408F"/>
    <w:rsid w:val="002545E5"/>
    <w:rsid w:val="002549A8"/>
    <w:rsid w:val="002612D7"/>
    <w:rsid w:val="00261C9E"/>
    <w:rsid w:val="0026278B"/>
    <w:rsid w:val="0026672E"/>
    <w:rsid w:val="0026689F"/>
    <w:rsid w:val="002703E1"/>
    <w:rsid w:val="002733CE"/>
    <w:rsid w:val="0027366D"/>
    <w:rsid w:val="00275D44"/>
    <w:rsid w:val="00276E43"/>
    <w:rsid w:val="0028338D"/>
    <w:rsid w:val="00290CAD"/>
    <w:rsid w:val="00290D7A"/>
    <w:rsid w:val="00292762"/>
    <w:rsid w:val="0029280D"/>
    <w:rsid w:val="00293150"/>
    <w:rsid w:val="002952ED"/>
    <w:rsid w:val="00295F36"/>
    <w:rsid w:val="002A0508"/>
    <w:rsid w:val="002A17D1"/>
    <w:rsid w:val="002A20C5"/>
    <w:rsid w:val="002A279E"/>
    <w:rsid w:val="002A5FBD"/>
    <w:rsid w:val="002B2A09"/>
    <w:rsid w:val="002B2FA2"/>
    <w:rsid w:val="002B30AD"/>
    <w:rsid w:val="002B4264"/>
    <w:rsid w:val="002B6B4E"/>
    <w:rsid w:val="002C4CC7"/>
    <w:rsid w:val="002C5844"/>
    <w:rsid w:val="002C786D"/>
    <w:rsid w:val="002C78A9"/>
    <w:rsid w:val="002D16F0"/>
    <w:rsid w:val="002D2B69"/>
    <w:rsid w:val="002D4021"/>
    <w:rsid w:val="002D50E5"/>
    <w:rsid w:val="002D6820"/>
    <w:rsid w:val="002E097A"/>
    <w:rsid w:val="002E156B"/>
    <w:rsid w:val="002E3234"/>
    <w:rsid w:val="002E6245"/>
    <w:rsid w:val="002F01F9"/>
    <w:rsid w:val="002F141C"/>
    <w:rsid w:val="002F3556"/>
    <w:rsid w:val="002F4AF9"/>
    <w:rsid w:val="00301F74"/>
    <w:rsid w:val="0030485B"/>
    <w:rsid w:val="00307061"/>
    <w:rsid w:val="003103EF"/>
    <w:rsid w:val="003104B8"/>
    <w:rsid w:val="00310EDB"/>
    <w:rsid w:val="0032123F"/>
    <w:rsid w:val="00327FF6"/>
    <w:rsid w:val="003304C1"/>
    <w:rsid w:val="00332F0E"/>
    <w:rsid w:val="00337388"/>
    <w:rsid w:val="003374F5"/>
    <w:rsid w:val="00341DBC"/>
    <w:rsid w:val="003468BF"/>
    <w:rsid w:val="00347716"/>
    <w:rsid w:val="003532C2"/>
    <w:rsid w:val="00360674"/>
    <w:rsid w:val="00360D95"/>
    <w:rsid w:val="00362D78"/>
    <w:rsid w:val="003632E7"/>
    <w:rsid w:val="00365910"/>
    <w:rsid w:val="00366B2A"/>
    <w:rsid w:val="003712A6"/>
    <w:rsid w:val="00372316"/>
    <w:rsid w:val="00372735"/>
    <w:rsid w:val="00375887"/>
    <w:rsid w:val="00375A78"/>
    <w:rsid w:val="00376D5B"/>
    <w:rsid w:val="003834C3"/>
    <w:rsid w:val="00385287"/>
    <w:rsid w:val="00390F5A"/>
    <w:rsid w:val="00392F3F"/>
    <w:rsid w:val="0039432D"/>
    <w:rsid w:val="00394BB6"/>
    <w:rsid w:val="0039584D"/>
    <w:rsid w:val="00395921"/>
    <w:rsid w:val="00396BC4"/>
    <w:rsid w:val="0039738E"/>
    <w:rsid w:val="003A0803"/>
    <w:rsid w:val="003A0E7C"/>
    <w:rsid w:val="003A42F0"/>
    <w:rsid w:val="003A60C0"/>
    <w:rsid w:val="003B0374"/>
    <w:rsid w:val="003B03C3"/>
    <w:rsid w:val="003B0EDA"/>
    <w:rsid w:val="003C13D6"/>
    <w:rsid w:val="003C297E"/>
    <w:rsid w:val="003C3B60"/>
    <w:rsid w:val="003C4A5F"/>
    <w:rsid w:val="003C5A2A"/>
    <w:rsid w:val="003C7DCF"/>
    <w:rsid w:val="003D4089"/>
    <w:rsid w:val="003D7901"/>
    <w:rsid w:val="003E16F8"/>
    <w:rsid w:val="003E291B"/>
    <w:rsid w:val="003E3B42"/>
    <w:rsid w:val="003E4385"/>
    <w:rsid w:val="003E5E81"/>
    <w:rsid w:val="003E7800"/>
    <w:rsid w:val="003E790A"/>
    <w:rsid w:val="003F0594"/>
    <w:rsid w:val="003F4782"/>
    <w:rsid w:val="003F5E78"/>
    <w:rsid w:val="00400673"/>
    <w:rsid w:val="004015C1"/>
    <w:rsid w:val="004016E1"/>
    <w:rsid w:val="00402613"/>
    <w:rsid w:val="004070EE"/>
    <w:rsid w:val="0041140D"/>
    <w:rsid w:val="004155A4"/>
    <w:rsid w:val="00417D5C"/>
    <w:rsid w:val="00423562"/>
    <w:rsid w:val="004239C4"/>
    <w:rsid w:val="00424802"/>
    <w:rsid w:val="004257A3"/>
    <w:rsid w:val="00425C96"/>
    <w:rsid w:val="00425E25"/>
    <w:rsid w:val="004267E9"/>
    <w:rsid w:val="00432596"/>
    <w:rsid w:val="00433275"/>
    <w:rsid w:val="0043364E"/>
    <w:rsid w:val="004349CC"/>
    <w:rsid w:val="00436025"/>
    <w:rsid w:val="00437128"/>
    <w:rsid w:val="00437527"/>
    <w:rsid w:val="00441B69"/>
    <w:rsid w:val="004421F1"/>
    <w:rsid w:val="004506FC"/>
    <w:rsid w:val="00455C62"/>
    <w:rsid w:val="004560E3"/>
    <w:rsid w:val="004609EB"/>
    <w:rsid w:val="00461C65"/>
    <w:rsid w:val="00461DAA"/>
    <w:rsid w:val="00462605"/>
    <w:rsid w:val="00462CC0"/>
    <w:rsid w:val="00463AC7"/>
    <w:rsid w:val="00464E93"/>
    <w:rsid w:val="004657AE"/>
    <w:rsid w:val="0046629C"/>
    <w:rsid w:val="00467C65"/>
    <w:rsid w:val="00467C9F"/>
    <w:rsid w:val="00467EA8"/>
    <w:rsid w:val="00470AAE"/>
    <w:rsid w:val="004733C9"/>
    <w:rsid w:val="004742B5"/>
    <w:rsid w:val="00475B7C"/>
    <w:rsid w:val="00476E67"/>
    <w:rsid w:val="00477B5C"/>
    <w:rsid w:val="004809F7"/>
    <w:rsid w:val="004826F9"/>
    <w:rsid w:val="00482B95"/>
    <w:rsid w:val="00483798"/>
    <w:rsid w:val="00483BC2"/>
    <w:rsid w:val="00485947"/>
    <w:rsid w:val="00485AC1"/>
    <w:rsid w:val="0049238A"/>
    <w:rsid w:val="004A064A"/>
    <w:rsid w:val="004A3D9F"/>
    <w:rsid w:val="004A6298"/>
    <w:rsid w:val="004A71B2"/>
    <w:rsid w:val="004B00D4"/>
    <w:rsid w:val="004B0A93"/>
    <w:rsid w:val="004B1825"/>
    <w:rsid w:val="004B40BD"/>
    <w:rsid w:val="004B6118"/>
    <w:rsid w:val="004B6742"/>
    <w:rsid w:val="004C5364"/>
    <w:rsid w:val="004D2DEB"/>
    <w:rsid w:val="004D2F5A"/>
    <w:rsid w:val="004D4BC7"/>
    <w:rsid w:val="004D54CE"/>
    <w:rsid w:val="004D70EA"/>
    <w:rsid w:val="004E0A8C"/>
    <w:rsid w:val="004E6894"/>
    <w:rsid w:val="004F14C2"/>
    <w:rsid w:val="004F167F"/>
    <w:rsid w:val="004F2373"/>
    <w:rsid w:val="004F4337"/>
    <w:rsid w:val="004F4E7B"/>
    <w:rsid w:val="004F549F"/>
    <w:rsid w:val="004F77C9"/>
    <w:rsid w:val="00500137"/>
    <w:rsid w:val="00501050"/>
    <w:rsid w:val="00502117"/>
    <w:rsid w:val="00502629"/>
    <w:rsid w:val="00503D10"/>
    <w:rsid w:val="0050534B"/>
    <w:rsid w:val="00505F11"/>
    <w:rsid w:val="00512775"/>
    <w:rsid w:val="00516A66"/>
    <w:rsid w:val="00517428"/>
    <w:rsid w:val="00520BED"/>
    <w:rsid w:val="005245FC"/>
    <w:rsid w:val="00525B18"/>
    <w:rsid w:val="0053032C"/>
    <w:rsid w:val="0053068B"/>
    <w:rsid w:val="00535DA5"/>
    <w:rsid w:val="005452BB"/>
    <w:rsid w:val="005455D6"/>
    <w:rsid w:val="00546476"/>
    <w:rsid w:val="00547620"/>
    <w:rsid w:val="00550E0F"/>
    <w:rsid w:val="00551A83"/>
    <w:rsid w:val="0055311C"/>
    <w:rsid w:val="00556A5D"/>
    <w:rsid w:val="00561D38"/>
    <w:rsid w:val="00562787"/>
    <w:rsid w:val="00572544"/>
    <w:rsid w:val="0057355E"/>
    <w:rsid w:val="00573E14"/>
    <w:rsid w:val="00573E53"/>
    <w:rsid w:val="00574A0E"/>
    <w:rsid w:val="0057519F"/>
    <w:rsid w:val="00575637"/>
    <w:rsid w:val="0058062E"/>
    <w:rsid w:val="00583BF7"/>
    <w:rsid w:val="0058624C"/>
    <w:rsid w:val="0059125A"/>
    <w:rsid w:val="005917B5"/>
    <w:rsid w:val="00592BD0"/>
    <w:rsid w:val="0059429A"/>
    <w:rsid w:val="0059525E"/>
    <w:rsid w:val="005953A2"/>
    <w:rsid w:val="005972E3"/>
    <w:rsid w:val="00597CEE"/>
    <w:rsid w:val="005A1F7A"/>
    <w:rsid w:val="005A5933"/>
    <w:rsid w:val="005A6CC7"/>
    <w:rsid w:val="005B2BE9"/>
    <w:rsid w:val="005C212E"/>
    <w:rsid w:val="005C3E8E"/>
    <w:rsid w:val="005C408D"/>
    <w:rsid w:val="005C6CCC"/>
    <w:rsid w:val="005D073C"/>
    <w:rsid w:val="005D4943"/>
    <w:rsid w:val="005D5537"/>
    <w:rsid w:val="005D5615"/>
    <w:rsid w:val="005D68BA"/>
    <w:rsid w:val="005D7A3C"/>
    <w:rsid w:val="005E0D6A"/>
    <w:rsid w:val="005E1819"/>
    <w:rsid w:val="005E2FF9"/>
    <w:rsid w:val="005E30C3"/>
    <w:rsid w:val="005E3339"/>
    <w:rsid w:val="005E39E2"/>
    <w:rsid w:val="005E75FF"/>
    <w:rsid w:val="005F1019"/>
    <w:rsid w:val="005F4CE9"/>
    <w:rsid w:val="005F59D4"/>
    <w:rsid w:val="0060082E"/>
    <w:rsid w:val="00601AB8"/>
    <w:rsid w:val="006020EB"/>
    <w:rsid w:val="0060328B"/>
    <w:rsid w:val="00607DB4"/>
    <w:rsid w:val="00611E92"/>
    <w:rsid w:val="00613D6D"/>
    <w:rsid w:val="0062298E"/>
    <w:rsid w:val="00623E73"/>
    <w:rsid w:val="00626869"/>
    <w:rsid w:val="00627C2D"/>
    <w:rsid w:val="00631B5C"/>
    <w:rsid w:val="00632A8A"/>
    <w:rsid w:val="00633F66"/>
    <w:rsid w:val="00634DDB"/>
    <w:rsid w:val="006419B4"/>
    <w:rsid w:val="00642833"/>
    <w:rsid w:val="006451D8"/>
    <w:rsid w:val="006504DE"/>
    <w:rsid w:val="0065396B"/>
    <w:rsid w:val="00655653"/>
    <w:rsid w:val="006558AD"/>
    <w:rsid w:val="00655ECB"/>
    <w:rsid w:val="00655EDA"/>
    <w:rsid w:val="0065737C"/>
    <w:rsid w:val="00657543"/>
    <w:rsid w:val="00660B20"/>
    <w:rsid w:val="00660E7E"/>
    <w:rsid w:val="0066153C"/>
    <w:rsid w:val="00665C88"/>
    <w:rsid w:val="006663F8"/>
    <w:rsid w:val="0067070D"/>
    <w:rsid w:val="00675A9D"/>
    <w:rsid w:val="00675C0E"/>
    <w:rsid w:val="00675FD9"/>
    <w:rsid w:val="006800A8"/>
    <w:rsid w:val="0068323A"/>
    <w:rsid w:val="00684611"/>
    <w:rsid w:val="006910BA"/>
    <w:rsid w:val="00694C28"/>
    <w:rsid w:val="00695189"/>
    <w:rsid w:val="006975A7"/>
    <w:rsid w:val="006A326F"/>
    <w:rsid w:val="006A3C40"/>
    <w:rsid w:val="006A3F9F"/>
    <w:rsid w:val="006A44DC"/>
    <w:rsid w:val="006A5E0A"/>
    <w:rsid w:val="006A6F22"/>
    <w:rsid w:val="006B0B05"/>
    <w:rsid w:val="006B10DF"/>
    <w:rsid w:val="006B16D2"/>
    <w:rsid w:val="006B1949"/>
    <w:rsid w:val="006B1D8B"/>
    <w:rsid w:val="006B3D5B"/>
    <w:rsid w:val="006B4237"/>
    <w:rsid w:val="006B67C8"/>
    <w:rsid w:val="006C0D86"/>
    <w:rsid w:val="006C3461"/>
    <w:rsid w:val="006C375D"/>
    <w:rsid w:val="006C5BB9"/>
    <w:rsid w:val="006C6461"/>
    <w:rsid w:val="006D0936"/>
    <w:rsid w:val="006D54A4"/>
    <w:rsid w:val="006F1FB8"/>
    <w:rsid w:val="006F3478"/>
    <w:rsid w:val="006F6182"/>
    <w:rsid w:val="006F7239"/>
    <w:rsid w:val="006F764A"/>
    <w:rsid w:val="0070057E"/>
    <w:rsid w:val="00700A28"/>
    <w:rsid w:val="007055FB"/>
    <w:rsid w:val="00706D42"/>
    <w:rsid w:val="0071201B"/>
    <w:rsid w:val="0071253E"/>
    <w:rsid w:val="00717C14"/>
    <w:rsid w:val="00721CD7"/>
    <w:rsid w:val="00723B64"/>
    <w:rsid w:val="00725F7E"/>
    <w:rsid w:val="00731E2D"/>
    <w:rsid w:val="00732BAB"/>
    <w:rsid w:val="0073464F"/>
    <w:rsid w:val="00737DAD"/>
    <w:rsid w:val="007414E3"/>
    <w:rsid w:val="00742EFA"/>
    <w:rsid w:val="00743F2A"/>
    <w:rsid w:val="00750ED7"/>
    <w:rsid w:val="007538BA"/>
    <w:rsid w:val="00755407"/>
    <w:rsid w:val="00760559"/>
    <w:rsid w:val="007638A3"/>
    <w:rsid w:val="007663E1"/>
    <w:rsid w:val="00771298"/>
    <w:rsid w:val="00771355"/>
    <w:rsid w:val="00776376"/>
    <w:rsid w:val="00783B16"/>
    <w:rsid w:val="00784C95"/>
    <w:rsid w:val="0079016C"/>
    <w:rsid w:val="00790DB7"/>
    <w:rsid w:val="00791B1C"/>
    <w:rsid w:val="0079238D"/>
    <w:rsid w:val="00792E04"/>
    <w:rsid w:val="00793214"/>
    <w:rsid w:val="0079435E"/>
    <w:rsid w:val="00795E6C"/>
    <w:rsid w:val="00796078"/>
    <w:rsid w:val="007A6730"/>
    <w:rsid w:val="007B02DC"/>
    <w:rsid w:val="007B2F8B"/>
    <w:rsid w:val="007B31FE"/>
    <w:rsid w:val="007B6CCD"/>
    <w:rsid w:val="007B6E39"/>
    <w:rsid w:val="007B71F5"/>
    <w:rsid w:val="007B730B"/>
    <w:rsid w:val="007B75F1"/>
    <w:rsid w:val="007B7666"/>
    <w:rsid w:val="007C262B"/>
    <w:rsid w:val="007C276D"/>
    <w:rsid w:val="007C41C8"/>
    <w:rsid w:val="007C5892"/>
    <w:rsid w:val="007C702A"/>
    <w:rsid w:val="007D1F3E"/>
    <w:rsid w:val="007D4038"/>
    <w:rsid w:val="007D5C34"/>
    <w:rsid w:val="007E310A"/>
    <w:rsid w:val="007E3B2D"/>
    <w:rsid w:val="007F19EB"/>
    <w:rsid w:val="007F3330"/>
    <w:rsid w:val="0080232D"/>
    <w:rsid w:val="0080337F"/>
    <w:rsid w:val="008134E8"/>
    <w:rsid w:val="00813D6E"/>
    <w:rsid w:val="008203D1"/>
    <w:rsid w:val="0082078F"/>
    <w:rsid w:val="00827809"/>
    <w:rsid w:val="0083235F"/>
    <w:rsid w:val="00832AA4"/>
    <w:rsid w:val="00841C68"/>
    <w:rsid w:val="0084229E"/>
    <w:rsid w:val="00846D87"/>
    <w:rsid w:val="00847429"/>
    <w:rsid w:val="00851612"/>
    <w:rsid w:val="00854463"/>
    <w:rsid w:val="00857FCA"/>
    <w:rsid w:val="00861FA6"/>
    <w:rsid w:val="0086310E"/>
    <w:rsid w:val="00866C62"/>
    <w:rsid w:val="008700CE"/>
    <w:rsid w:val="0087037F"/>
    <w:rsid w:val="00872409"/>
    <w:rsid w:val="0087372C"/>
    <w:rsid w:val="0087425C"/>
    <w:rsid w:val="008755CB"/>
    <w:rsid w:val="00875985"/>
    <w:rsid w:val="00883B90"/>
    <w:rsid w:val="00884B04"/>
    <w:rsid w:val="00884EBF"/>
    <w:rsid w:val="00885436"/>
    <w:rsid w:val="0089073A"/>
    <w:rsid w:val="008942E3"/>
    <w:rsid w:val="00897F0B"/>
    <w:rsid w:val="008A00D9"/>
    <w:rsid w:val="008A0FF9"/>
    <w:rsid w:val="008A18E3"/>
    <w:rsid w:val="008A22E2"/>
    <w:rsid w:val="008A31AA"/>
    <w:rsid w:val="008A54DC"/>
    <w:rsid w:val="008A59A7"/>
    <w:rsid w:val="008B2526"/>
    <w:rsid w:val="008B6503"/>
    <w:rsid w:val="008C02E5"/>
    <w:rsid w:val="008D2F1A"/>
    <w:rsid w:val="008D4E00"/>
    <w:rsid w:val="008D6171"/>
    <w:rsid w:val="008D6ADC"/>
    <w:rsid w:val="008F051C"/>
    <w:rsid w:val="008F39E9"/>
    <w:rsid w:val="008F4259"/>
    <w:rsid w:val="008F43D2"/>
    <w:rsid w:val="008F7AB2"/>
    <w:rsid w:val="00903106"/>
    <w:rsid w:val="00904135"/>
    <w:rsid w:val="00904734"/>
    <w:rsid w:val="00905796"/>
    <w:rsid w:val="0090679D"/>
    <w:rsid w:val="00907991"/>
    <w:rsid w:val="00912186"/>
    <w:rsid w:val="0091711D"/>
    <w:rsid w:val="00917312"/>
    <w:rsid w:val="00917C75"/>
    <w:rsid w:val="00921DCD"/>
    <w:rsid w:val="009304C4"/>
    <w:rsid w:val="00933DC4"/>
    <w:rsid w:val="00934AC8"/>
    <w:rsid w:val="009356D7"/>
    <w:rsid w:val="00936A9E"/>
    <w:rsid w:val="0093724A"/>
    <w:rsid w:val="00937907"/>
    <w:rsid w:val="00937F62"/>
    <w:rsid w:val="00942D0A"/>
    <w:rsid w:val="009434B1"/>
    <w:rsid w:val="009436C4"/>
    <w:rsid w:val="00943CE6"/>
    <w:rsid w:val="00945154"/>
    <w:rsid w:val="00947689"/>
    <w:rsid w:val="00951764"/>
    <w:rsid w:val="00953743"/>
    <w:rsid w:val="00953B85"/>
    <w:rsid w:val="009544D3"/>
    <w:rsid w:val="00957F95"/>
    <w:rsid w:val="00961F1E"/>
    <w:rsid w:val="0096581F"/>
    <w:rsid w:val="0096790C"/>
    <w:rsid w:val="00972171"/>
    <w:rsid w:val="0097570A"/>
    <w:rsid w:val="00975A11"/>
    <w:rsid w:val="00985831"/>
    <w:rsid w:val="00987019"/>
    <w:rsid w:val="00991304"/>
    <w:rsid w:val="00993B86"/>
    <w:rsid w:val="00994F75"/>
    <w:rsid w:val="009960CB"/>
    <w:rsid w:val="009976A2"/>
    <w:rsid w:val="00997814"/>
    <w:rsid w:val="009A4953"/>
    <w:rsid w:val="009A6C45"/>
    <w:rsid w:val="009A716E"/>
    <w:rsid w:val="009B01A0"/>
    <w:rsid w:val="009B1DE5"/>
    <w:rsid w:val="009B290D"/>
    <w:rsid w:val="009B40FF"/>
    <w:rsid w:val="009B4EB7"/>
    <w:rsid w:val="009B61D4"/>
    <w:rsid w:val="009B6C52"/>
    <w:rsid w:val="009C208E"/>
    <w:rsid w:val="009C63FD"/>
    <w:rsid w:val="009C7C66"/>
    <w:rsid w:val="009D2B98"/>
    <w:rsid w:val="009D41AD"/>
    <w:rsid w:val="009D4EC0"/>
    <w:rsid w:val="009D548B"/>
    <w:rsid w:val="009D7761"/>
    <w:rsid w:val="009E32C2"/>
    <w:rsid w:val="009E4A10"/>
    <w:rsid w:val="009E6EA0"/>
    <w:rsid w:val="009F06D8"/>
    <w:rsid w:val="009F16D0"/>
    <w:rsid w:val="009F1807"/>
    <w:rsid w:val="009F5F7C"/>
    <w:rsid w:val="00A01193"/>
    <w:rsid w:val="00A01CCF"/>
    <w:rsid w:val="00A03631"/>
    <w:rsid w:val="00A03CBF"/>
    <w:rsid w:val="00A11AB9"/>
    <w:rsid w:val="00A14B66"/>
    <w:rsid w:val="00A17921"/>
    <w:rsid w:val="00A2188C"/>
    <w:rsid w:val="00A26A21"/>
    <w:rsid w:val="00A2779A"/>
    <w:rsid w:val="00A3189A"/>
    <w:rsid w:val="00A31CC5"/>
    <w:rsid w:val="00A335F9"/>
    <w:rsid w:val="00A33A6C"/>
    <w:rsid w:val="00A35D61"/>
    <w:rsid w:val="00A37A3F"/>
    <w:rsid w:val="00A418BF"/>
    <w:rsid w:val="00A50D90"/>
    <w:rsid w:val="00A5146F"/>
    <w:rsid w:val="00A515D0"/>
    <w:rsid w:val="00A534F8"/>
    <w:rsid w:val="00A56066"/>
    <w:rsid w:val="00A57628"/>
    <w:rsid w:val="00A61960"/>
    <w:rsid w:val="00A644BE"/>
    <w:rsid w:val="00A66878"/>
    <w:rsid w:val="00A7047A"/>
    <w:rsid w:val="00A71146"/>
    <w:rsid w:val="00A7557C"/>
    <w:rsid w:val="00A77D47"/>
    <w:rsid w:val="00A80B9C"/>
    <w:rsid w:val="00A849E6"/>
    <w:rsid w:val="00A857DC"/>
    <w:rsid w:val="00A86E54"/>
    <w:rsid w:val="00A91FF6"/>
    <w:rsid w:val="00A94D3F"/>
    <w:rsid w:val="00AA0E71"/>
    <w:rsid w:val="00AA155B"/>
    <w:rsid w:val="00AA156F"/>
    <w:rsid w:val="00AA2FC5"/>
    <w:rsid w:val="00AA5B37"/>
    <w:rsid w:val="00AA7454"/>
    <w:rsid w:val="00AB06C6"/>
    <w:rsid w:val="00AB0787"/>
    <w:rsid w:val="00AB1857"/>
    <w:rsid w:val="00AB3714"/>
    <w:rsid w:val="00AB5888"/>
    <w:rsid w:val="00AC00EF"/>
    <w:rsid w:val="00AC2763"/>
    <w:rsid w:val="00AC5CD7"/>
    <w:rsid w:val="00AC63A6"/>
    <w:rsid w:val="00AD1060"/>
    <w:rsid w:val="00AD15CC"/>
    <w:rsid w:val="00AD2E4C"/>
    <w:rsid w:val="00AD3087"/>
    <w:rsid w:val="00AD7A9F"/>
    <w:rsid w:val="00AE05C5"/>
    <w:rsid w:val="00AE189E"/>
    <w:rsid w:val="00AE248D"/>
    <w:rsid w:val="00AE397D"/>
    <w:rsid w:val="00AE4F4A"/>
    <w:rsid w:val="00AE5172"/>
    <w:rsid w:val="00AE5A68"/>
    <w:rsid w:val="00AF0D15"/>
    <w:rsid w:val="00AF1F50"/>
    <w:rsid w:val="00AF4C39"/>
    <w:rsid w:val="00AF7A6B"/>
    <w:rsid w:val="00B0015E"/>
    <w:rsid w:val="00B008F5"/>
    <w:rsid w:val="00B0099B"/>
    <w:rsid w:val="00B00AD6"/>
    <w:rsid w:val="00B01F85"/>
    <w:rsid w:val="00B025E9"/>
    <w:rsid w:val="00B06A2E"/>
    <w:rsid w:val="00B06CF5"/>
    <w:rsid w:val="00B10326"/>
    <w:rsid w:val="00B10B69"/>
    <w:rsid w:val="00B16834"/>
    <w:rsid w:val="00B23105"/>
    <w:rsid w:val="00B2444D"/>
    <w:rsid w:val="00B27E8D"/>
    <w:rsid w:val="00B30901"/>
    <w:rsid w:val="00B32D59"/>
    <w:rsid w:val="00B353C9"/>
    <w:rsid w:val="00B363DD"/>
    <w:rsid w:val="00B3781D"/>
    <w:rsid w:val="00B37F6B"/>
    <w:rsid w:val="00B40D34"/>
    <w:rsid w:val="00B41719"/>
    <w:rsid w:val="00B43A7E"/>
    <w:rsid w:val="00B44717"/>
    <w:rsid w:val="00B451D0"/>
    <w:rsid w:val="00B4760F"/>
    <w:rsid w:val="00B56CAB"/>
    <w:rsid w:val="00B61D40"/>
    <w:rsid w:val="00B62878"/>
    <w:rsid w:val="00B63E92"/>
    <w:rsid w:val="00B647AA"/>
    <w:rsid w:val="00B67742"/>
    <w:rsid w:val="00B703CC"/>
    <w:rsid w:val="00B7198A"/>
    <w:rsid w:val="00B72A24"/>
    <w:rsid w:val="00B7702F"/>
    <w:rsid w:val="00B802EF"/>
    <w:rsid w:val="00B815B9"/>
    <w:rsid w:val="00B82BAB"/>
    <w:rsid w:val="00B858C5"/>
    <w:rsid w:val="00B85E03"/>
    <w:rsid w:val="00B86A83"/>
    <w:rsid w:val="00B86DAC"/>
    <w:rsid w:val="00B878D5"/>
    <w:rsid w:val="00B90341"/>
    <w:rsid w:val="00B9141A"/>
    <w:rsid w:val="00B92EF9"/>
    <w:rsid w:val="00B94DEB"/>
    <w:rsid w:val="00B951CE"/>
    <w:rsid w:val="00B974EF"/>
    <w:rsid w:val="00BA03FA"/>
    <w:rsid w:val="00BA0A87"/>
    <w:rsid w:val="00BA2F3D"/>
    <w:rsid w:val="00BA3F4F"/>
    <w:rsid w:val="00BA6F3C"/>
    <w:rsid w:val="00BB238E"/>
    <w:rsid w:val="00BB24D1"/>
    <w:rsid w:val="00BB6082"/>
    <w:rsid w:val="00BC2D3C"/>
    <w:rsid w:val="00BC653C"/>
    <w:rsid w:val="00BC7766"/>
    <w:rsid w:val="00BC7930"/>
    <w:rsid w:val="00BD08E9"/>
    <w:rsid w:val="00BD19F0"/>
    <w:rsid w:val="00BD1EEB"/>
    <w:rsid w:val="00BD47A1"/>
    <w:rsid w:val="00BD5769"/>
    <w:rsid w:val="00BD5ECB"/>
    <w:rsid w:val="00BD7906"/>
    <w:rsid w:val="00BE0DF9"/>
    <w:rsid w:val="00BE1136"/>
    <w:rsid w:val="00BE11E6"/>
    <w:rsid w:val="00BE1875"/>
    <w:rsid w:val="00BE1B37"/>
    <w:rsid w:val="00BE592B"/>
    <w:rsid w:val="00BE7629"/>
    <w:rsid w:val="00BF0407"/>
    <w:rsid w:val="00BF434E"/>
    <w:rsid w:val="00BF5E6E"/>
    <w:rsid w:val="00BF7D02"/>
    <w:rsid w:val="00C02DA8"/>
    <w:rsid w:val="00C04A8F"/>
    <w:rsid w:val="00C10E47"/>
    <w:rsid w:val="00C146E4"/>
    <w:rsid w:val="00C2451B"/>
    <w:rsid w:val="00C27605"/>
    <w:rsid w:val="00C27730"/>
    <w:rsid w:val="00C30CE4"/>
    <w:rsid w:val="00C33DCC"/>
    <w:rsid w:val="00C366BF"/>
    <w:rsid w:val="00C4206E"/>
    <w:rsid w:val="00C43188"/>
    <w:rsid w:val="00C43E69"/>
    <w:rsid w:val="00C44CB9"/>
    <w:rsid w:val="00C47B10"/>
    <w:rsid w:val="00C50E76"/>
    <w:rsid w:val="00C51406"/>
    <w:rsid w:val="00C53927"/>
    <w:rsid w:val="00C54598"/>
    <w:rsid w:val="00C548C7"/>
    <w:rsid w:val="00C568EB"/>
    <w:rsid w:val="00C60161"/>
    <w:rsid w:val="00C634CA"/>
    <w:rsid w:val="00C63F4F"/>
    <w:rsid w:val="00C64FDB"/>
    <w:rsid w:val="00C67670"/>
    <w:rsid w:val="00C74F95"/>
    <w:rsid w:val="00C76E69"/>
    <w:rsid w:val="00C7702F"/>
    <w:rsid w:val="00C7739B"/>
    <w:rsid w:val="00C7756D"/>
    <w:rsid w:val="00C81207"/>
    <w:rsid w:val="00C8311C"/>
    <w:rsid w:val="00C87C56"/>
    <w:rsid w:val="00C92F14"/>
    <w:rsid w:val="00C93488"/>
    <w:rsid w:val="00C96C61"/>
    <w:rsid w:val="00C97AA0"/>
    <w:rsid w:val="00CA001E"/>
    <w:rsid w:val="00CA0AF8"/>
    <w:rsid w:val="00CA1DD3"/>
    <w:rsid w:val="00CA237A"/>
    <w:rsid w:val="00CA2EA3"/>
    <w:rsid w:val="00CA2EB5"/>
    <w:rsid w:val="00CA5761"/>
    <w:rsid w:val="00CB38C9"/>
    <w:rsid w:val="00CC56D8"/>
    <w:rsid w:val="00CD1501"/>
    <w:rsid w:val="00CD34F9"/>
    <w:rsid w:val="00CD3580"/>
    <w:rsid w:val="00CD359D"/>
    <w:rsid w:val="00CD617E"/>
    <w:rsid w:val="00CD79E4"/>
    <w:rsid w:val="00CE0831"/>
    <w:rsid w:val="00CE6DE5"/>
    <w:rsid w:val="00CE6F8F"/>
    <w:rsid w:val="00CE7513"/>
    <w:rsid w:val="00CF3331"/>
    <w:rsid w:val="00CF3980"/>
    <w:rsid w:val="00CF4273"/>
    <w:rsid w:val="00CF64C1"/>
    <w:rsid w:val="00CF6923"/>
    <w:rsid w:val="00CF77FE"/>
    <w:rsid w:val="00CF7E97"/>
    <w:rsid w:val="00D06E0E"/>
    <w:rsid w:val="00D0738F"/>
    <w:rsid w:val="00D12E24"/>
    <w:rsid w:val="00D21594"/>
    <w:rsid w:val="00D21BEE"/>
    <w:rsid w:val="00D228F1"/>
    <w:rsid w:val="00D2354D"/>
    <w:rsid w:val="00D262A0"/>
    <w:rsid w:val="00D3160C"/>
    <w:rsid w:val="00D32368"/>
    <w:rsid w:val="00D327AD"/>
    <w:rsid w:val="00D32A07"/>
    <w:rsid w:val="00D40313"/>
    <w:rsid w:val="00D4369C"/>
    <w:rsid w:val="00D46966"/>
    <w:rsid w:val="00D46CB5"/>
    <w:rsid w:val="00D54682"/>
    <w:rsid w:val="00D562EC"/>
    <w:rsid w:val="00D5672A"/>
    <w:rsid w:val="00D60B36"/>
    <w:rsid w:val="00D631B6"/>
    <w:rsid w:val="00D63A7B"/>
    <w:rsid w:val="00D63E20"/>
    <w:rsid w:val="00D64BAC"/>
    <w:rsid w:val="00D64D71"/>
    <w:rsid w:val="00D673C9"/>
    <w:rsid w:val="00D70351"/>
    <w:rsid w:val="00D710D3"/>
    <w:rsid w:val="00D71761"/>
    <w:rsid w:val="00D71A1B"/>
    <w:rsid w:val="00D724E7"/>
    <w:rsid w:val="00D72F13"/>
    <w:rsid w:val="00D737F8"/>
    <w:rsid w:val="00D75694"/>
    <w:rsid w:val="00D760F5"/>
    <w:rsid w:val="00D771D7"/>
    <w:rsid w:val="00D77A56"/>
    <w:rsid w:val="00D77B33"/>
    <w:rsid w:val="00D77C69"/>
    <w:rsid w:val="00D81642"/>
    <w:rsid w:val="00D825E1"/>
    <w:rsid w:val="00D8335A"/>
    <w:rsid w:val="00D83411"/>
    <w:rsid w:val="00D83992"/>
    <w:rsid w:val="00D87EBF"/>
    <w:rsid w:val="00D9043E"/>
    <w:rsid w:val="00D92434"/>
    <w:rsid w:val="00D94C7F"/>
    <w:rsid w:val="00D9694F"/>
    <w:rsid w:val="00D97A3E"/>
    <w:rsid w:val="00DA526D"/>
    <w:rsid w:val="00DB4CA9"/>
    <w:rsid w:val="00DB67E1"/>
    <w:rsid w:val="00DB73F2"/>
    <w:rsid w:val="00DC026B"/>
    <w:rsid w:val="00DC03B3"/>
    <w:rsid w:val="00DC10F0"/>
    <w:rsid w:val="00DC54CB"/>
    <w:rsid w:val="00DC5CCB"/>
    <w:rsid w:val="00DC6202"/>
    <w:rsid w:val="00DC6248"/>
    <w:rsid w:val="00DC78B2"/>
    <w:rsid w:val="00DD3EDA"/>
    <w:rsid w:val="00DE706E"/>
    <w:rsid w:val="00DE7CDA"/>
    <w:rsid w:val="00DF175B"/>
    <w:rsid w:val="00DF2202"/>
    <w:rsid w:val="00DF2BE1"/>
    <w:rsid w:val="00DF6532"/>
    <w:rsid w:val="00DF6830"/>
    <w:rsid w:val="00E000A4"/>
    <w:rsid w:val="00E019E5"/>
    <w:rsid w:val="00E02FFE"/>
    <w:rsid w:val="00E065B5"/>
    <w:rsid w:val="00E10401"/>
    <w:rsid w:val="00E10493"/>
    <w:rsid w:val="00E10BA9"/>
    <w:rsid w:val="00E11525"/>
    <w:rsid w:val="00E11ECC"/>
    <w:rsid w:val="00E1323B"/>
    <w:rsid w:val="00E134E3"/>
    <w:rsid w:val="00E141C2"/>
    <w:rsid w:val="00E154C3"/>
    <w:rsid w:val="00E1619B"/>
    <w:rsid w:val="00E20B40"/>
    <w:rsid w:val="00E22D92"/>
    <w:rsid w:val="00E25111"/>
    <w:rsid w:val="00E26169"/>
    <w:rsid w:val="00E302B2"/>
    <w:rsid w:val="00E34E50"/>
    <w:rsid w:val="00E34F75"/>
    <w:rsid w:val="00E35D3B"/>
    <w:rsid w:val="00E42ECE"/>
    <w:rsid w:val="00E43EBC"/>
    <w:rsid w:val="00E44C43"/>
    <w:rsid w:val="00E45965"/>
    <w:rsid w:val="00E5525F"/>
    <w:rsid w:val="00E57DB8"/>
    <w:rsid w:val="00E624C2"/>
    <w:rsid w:val="00E62EB6"/>
    <w:rsid w:val="00E65FBF"/>
    <w:rsid w:val="00E66C67"/>
    <w:rsid w:val="00E7063A"/>
    <w:rsid w:val="00E771A7"/>
    <w:rsid w:val="00E80196"/>
    <w:rsid w:val="00E83332"/>
    <w:rsid w:val="00E84516"/>
    <w:rsid w:val="00E86B8F"/>
    <w:rsid w:val="00E97654"/>
    <w:rsid w:val="00EA5C6F"/>
    <w:rsid w:val="00EA5D4B"/>
    <w:rsid w:val="00EA671C"/>
    <w:rsid w:val="00EB06DE"/>
    <w:rsid w:val="00EB2D23"/>
    <w:rsid w:val="00EB40D5"/>
    <w:rsid w:val="00EB4A64"/>
    <w:rsid w:val="00EB69C2"/>
    <w:rsid w:val="00EC1B51"/>
    <w:rsid w:val="00EC21A6"/>
    <w:rsid w:val="00EC41A8"/>
    <w:rsid w:val="00EC4BBE"/>
    <w:rsid w:val="00EC515E"/>
    <w:rsid w:val="00EC5BFB"/>
    <w:rsid w:val="00ED16D2"/>
    <w:rsid w:val="00ED226C"/>
    <w:rsid w:val="00ED4747"/>
    <w:rsid w:val="00ED558E"/>
    <w:rsid w:val="00ED55C2"/>
    <w:rsid w:val="00ED7915"/>
    <w:rsid w:val="00EE056D"/>
    <w:rsid w:val="00EE183D"/>
    <w:rsid w:val="00EE4835"/>
    <w:rsid w:val="00EE5762"/>
    <w:rsid w:val="00EE6B7A"/>
    <w:rsid w:val="00EE7174"/>
    <w:rsid w:val="00EF349D"/>
    <w:rsid w:val="00EF4AB7"/>
    <w:rsid w:val="00EF568E"/>
    <w:rsid w:val="00EF6EDD"/>
    <w:rsid w:val="00F00AD0"/>
    <w:rsid w:val="00F019A8"/>
    <w:rsid w:val="00F019EC"/>
    <w:rsid w:val="00F0518E"/>
    <w:rsid w:val="00F06494"/>
    <w:rsid w:val="00F14947"/>
    <w:rsid w:val="00F2069E"/>
    <w:rsid w:val="00F20F9F"/>
    <w:rsid w:val="00F217B7"/>
    <w:rsid w:val="00F2180B"/>
    <w:rsid w:val="00F22298"/>
    <w:rsid w:val="00F251FA"/>
    <w:rsid w:val="00F26C62"/>
    <w:rsid w:val="00F31C8A"/>
    <w:rsid w:val="00F34C43"/>
    <w:rsid w:val="00F4131B"/>
    <w:rsid w:val="00F42EC8"/>
    <w:rsid w:val="00F47175"/>
    <w:rsid w:val="00F52332"/>
    <w:rsid w:val="00F53379"/>
    <w:rsid w:val="00F61DF6"/>
    <w:rsid w:val="00F64CB6"/>
    <w:rsid w:val="00F73B89"/>
    <w:rsid w:val="00F76CE1"/>
    <w:rsid w:val="00F76F91"/>
    <w:rsid w:val="00F80D69"/>
    <w:rsid w:val="00F81163"/>
    <w:rsid w:val="00F81EB8"/>
    <w:rsid w:val="00F83B45"/>
    <w:rsid w:val="00F840A7"/>
    <w:rsid w:val="00F852CD"/>
    <w:rsid w:val="00F85761"/>
    <w:rsid w:val="00F87698"/>
    <w:rsid w:val="00F90555"/>
    <w:rsid w:val="00F90D24"/>
    <w:rsid w:val="00F95864"/>
    <w:rsid w:val="00F97A8E"/>
    <w:rsid w:val="00FA280A"/>
    <w:rsid w:val="00FA3CEE"/>
    <w:rsid w:val="00FA4715"/>
    <w:rsid w:val="00FA64D7"/>
    <w:rsid w:val="00FA7B8F"/>
    <w:rsid w:val="00FB1BE9"/>
    <w:rsid w:val="00FB1F5F"/>
    <w:rsid w:val="00FB2517"/>
    <w:rsid w:val="00FB4153"/>
    <w:rsid w:val="00FB46D2"/>
    <w:rsid w:val="00FB4728"/>
    <w:rsid w:val="00FB5EB8"/>
    <w:rsid w:val="00FB711C"/>
    <w:rsid w:val="00FB733C"/>
    <w:rsid w:val="00FC7C82"/>
    <w:rsid w:val="00FD01D7"/>
    <w:rsid w:val="00FD0485"/>
    <w:rsid w:val="00FD18E3"/>
    <w:rsid w:val="00FD1F6A"/>
    <w:rsid w:val="00FD3471"/>
    <w:rsid w:val="00FD3790"/>
    <w:rsid w:val="00FD604C"/>
    <w:rsid w:val="00FD64C8"/>
    <w:rsid w:val="00FE0A35"/>
    <w:rsid w:val="00FE0D2A"/>
    <w:rsid w:val="00FE2DF9"/>
    <w:rsid w:val="00FE2E57"/>
    <w:rsid w:val="00FE2F18"/>
    <w:rsid w:val="00FE662B"/>
    <w:rsid w:val="00FF2879"/>
    <w:rsid w:val="00FF47F1"/>
    <w:rsid w:val="00FF7421"/>
    <w:rsid w:val="01CB72E3"/>
    <w:rsid w:val="02256097"/>
    <w:rsid w:val="036E510C"/>
    <w:rsid w:val="0532B4D6"/>
    <w:rsid w:val="062832CD"/>
    <w:rsid w:val="06476E8A"/>
    <w:rsid w:val="0761E2E9"/>
    <w:rsid w:val="090D4DAC"/>
    <w:rsid w:val="0949D9D2"/>
    <w:rsid w:val="098055A0"/>
    <w:rsid w:val="0ADFB68C"/>
    <w:rsid w:val="0BC4336F"/>
    <w:rsid w:val="0CB7F662"/>
    <w:rsid w:val="0D4CC528"/>
    <w:rsid w:val="0FEAEC05"/>
    <w:rsid w:val="143B6CC6"/>
    <w:rsid w:val="1480A981"/>
    <w:rsid w:val="1550FE4E"/>
    <w:rsid w:val="168178A2"/>
    <w:rsid w:val="17008D22"/>
    <w:rsid w:val="17802C61"/>
    <w:rsid w:val="17A45964"/>
    <w:rsid w:val="1ADA221C"/>
    <w:rsid w:val="1AF90BA6"/>
    <w:rsid w:val="1B165BF8"/>
    <w:rsid w:val="1B4DBB4E"/>
    <w:rsid w:val="1C260CBE"/>
    <w:rsid w:val="1D524692"/>
    <w:rsid w:val="1D608F70"/>
    <w:rsid w:val="20E432CE"/>
    <w:rsid w:val="219D5D5A"/>
    <w:rsid w:val="23DA17FC"/>
    <w:rsid w:val="252569F8"/>
    <w:rsid w:val="263F49C9"/>
    <w:rsid w:val="27C864FD"/>
    <w:rsid w:val="28CAABB9"/>
    <w:rsid w:val="298764FB"/>
    <w:rsid w:val="29DAE4F7"/>
    <w:rsid w:val="2AE37407"/>
    <w:rsid w:val="2CFA8372"/>
    <w:rsid w:val="2D065DA7"/>
    <w:rsid w:val="2DA97B78"/>
    <w:rsid w:val="2EFE081B"/>
    <w:rsid w:val="2F311E85"/>
    <w:rsid w:val="317A8448"/>
    <w:rsid w:val="31C845E7"/>
    <w:rsid w:val="31E285D0"/>
    <w:rsid w:val="3238CF29"/>
    <w:rsid w:val="324BB968"/>
    <w:rsid w:val="32C00A8E"/>
    <w:rsid w:val="340843B1"/>
    <w:rsid w:val="34360796"/>
    <w:rsid w:val="34BA531B"/>
    <w:rsid w:val="34E06C5D"/>
    <w:rsid w:val="34E1DA08"/>
    <w:rsid w:val="368AA767"/>
    <w:rsid w:val="36C02CE6"/>
    <w:rsid w:val="37294B74"/>
    <w:rsid w:val="3813A3BE"/>
    <w:rsid w:val="3A8D58EE"/>
    <w:rsid w:val="3B121FB9"/>
    <w:rsid w:val="3B69489F"/>
    <w:rsid w:val="3C03D1C3"/>
    <w:rsid w:val="3C896213"/>
    <w:rsid w:val="3CFCEF87"/>
    <w:rsid w:val="3D13C68B"/>
    <w:rsid w:val="3DDF9CFB"/>
    <w:rsid w:val="3E9AC1D6"/>
    <w:rsid w:val="3EC7E2FB"/>
    <w:rsid w:val="402F3BD9"/>
    <w:rsid w:val="409355DE"/>
    <w:rsid w:val="40B3326D"/>
    <w:rsid w:val="40ED4392"/>
    <w:rsid w:val="417B2CF3"/>
    <w:rsid w:val="43F32FB6"/>
    <w:rsid w:val="44321F52"/>
    <w:rsid w:val="46D62942"/>
    <w:rsid w:val="4738403C"/>
    <w:rsid w:val="4745EAFF"/>
    <w:rsid w:val="4751C9C6"/>
    <w:rsid w:val="48E255A0"/>
    <w:rsid w:val="49C02CBE"/>
    <w:rsid w:val="49E27726"/>
    <w:rsid w:val="4A04CC9E"/>
    <w:rsid w:val="4ACFD2FD"/>
    <w:rsid w:val="4AD45E59"/>
    <w:rsid w:val="4BAD1A48"/>
    <w:rsid w:val="4C810F8E"/>
    <w:rsid w:val="4CBA495C"/>
    <w:rsid w:val="4D96A915"/>
    <w:rsid w:val="4DD9E549"/>
    <w:rsid w:val="4DE98C89"/>
    <w:rsid w:val="4E27F7B3"/>
    <w:rsid w:val="4EC00932"/>
    <w:rsid w:val="4F496266"/>
    <w:rsid w:val="4F4BF15D"/>
    <w:rsid w:val="5024DD16"/>
    <w:rsid w:val="509C1929"/>
    <w:rsid w:val="50BF9583"/>
    <w:rsid w:val="5111860B"/>
    <w:rsid w:val="5204E421"/>
    <w:rsid w:val="5368283E"/>
    <w:rsid w:val="5420BC56"/>
    <w:rsid w:val="55FDDC83"/>
    <w:rsid w:val="56007CCB"/>
    <w:rsid w:val="56CD8A5C"/>
    <w:rsid w:val="57232C41"/>
    <w:rsid w:val="588CEF7F"/>
    <w:rsid w:val="59E9F183"/>
    <w:rsid w:val="5A7632DC"/>
    <w:rsid w:val="5B8FA1F1"/>
    <w:rsid w:val="5C12605F"/>
    <w:rsid w:val="5E9A4CE1"/>
    <w:rsid w:val="5EF6A3F7"/>
    <w:rsid w:val="5FAEE69A"/>
    <w:rsid w:val="60C9E593"/>
    <w:rsid w:val="61CF34E8"/>
    <w:rsid w:val="629E5258"/>
    <w:rsid w:val="62D33681"/>
    <w:rsid w:val="64246FD9"/>
    <w:rsid w:val="64D31A04"/>
    <w:rsid w:val="65498C6D"/>
    <w:rsid w:val="66FBECFE"/>
    <w:rsid w:val="67350F1E"/>
    <w:rsid w:val="67982944"/>
    <w:rsid w:val="680CA32B"/>
    <w:rsid w:val="68694241"/>
    <w:rsid w:val="6AD8240D"/>
    <w:rsid w:val="6AFEFF32"/>
    <w:rsid w:val="6B0291EE"/>
    <w:rsid w:val="6B0E28A6"/>
    <w:rsid w:val="6C9BA8F8"/>
    <w:rsid w:val="6D10BB80"/>
    <w:rsid w:val="6DA9220C"/>
    <w:rsid w:val="6ECCDAD7"/>
    <w:rsid w:val="6F44BC67"/>
    <w:rsid w:val="6FF885A2"/>
    <w:rsid w:val="71A57531"/>
    <w:rsid w:val="7367119B"/>
    <w:rsid w:val="73A2417B"/>
    <w:rsid w:val="742EA79A"/>
    <w:rsid w:val="762920EB"/>
    <w:rsid w:val="76AC2DDF"/>
    <w:rsid w:val="775E7AB2"/>
    <w:rsid w:val="7870BC9E"/>
    <w:rsid w:val="7948E59A"/>
    <w:rsid w:val="79AD7DA8"/>
    <w:rsid w:val="7A46FA7E"/>
    <w:rsid w:val="7AC4DB70"/>
    <w:rsid w:val="7B323D8A"/>
    <w:rsid w:val="7B3759C4"/>
    <w:rsid w:val="7B5BD5C1"/>
    <w:rsid w:val="7BE7526E"/>
    <w:rsid w:val="7C32D3F7"/>
    <w:rsid w:val="7D630862"/>
    <w:rsid w:val="7D78137D"/>
    <w:rsid w:val="7DD0D1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290C0"/>
  <w15:chartTrackingRefBased/>
  <w15:docId w15:val="{79960A30-539C-A34F-B84B-4F179694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AD"/>
    <w:pPr>
      <w:spacing w:after="0" w:line="360" w:lineRule="auto"/>
    </w:pPr>
    <w:rPr>
      <w:rFonts w:ascii="Arial" w:hAnsi="Arial"/>
      <w:sz w:val="24"/>
    </w:rPr>
  </w:style>
  <w:style w:type="paragraph" w:styleId="Heading1">
    <w:name w:val="heading 1"/>
    <w:basedOn w:val="Normal"/>
    <w:next w:val="Normal"/>
    <w:link w:val="Heading1Char"/>
    <w:uiPriority w:val="9"/>
    <w:qFormat/>
    <w:rsid w:val="00290CA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290CAD"/>
    <w:pPr>
      <w:keepNext/>
      <w:keepLines/>
      <w:spacing w:line="240" w:lineRule="auto"/>
      <w:outlineLvl w:val="1"/>
    </w:pPr>
    <w:rPr>
      <w:rFonts w:eastAsiaTheme="majorEastAsia" w:cstheme="majorBidi"/>
      <w:b/>
      <w:color w:val="000000" w:themeColor="text1"/>
      <w:sz w:val="32"/>
      <w:szCs w:val="26"/>
    </w:rPr>
  </w:style>
  <w:style w:type="paragraph" w:styleId="Heading3">
    <w:name w:val="heading 3"/>
    <w:basedOn w:val="Normal"/>
    <w:next w:val="Normal"/>
    <w:link w:val="Heading3Char"/>
    <w:uiPriority w:val="9"/>
    <w:unhideWhenUsed/>
    <w:qFormat/>
    <w:rsid w:val="00290CAD"/>
    <w:pPr>
      <w:keepNext/>
      <w:keepLines/>
      <w:spacing w:line="240" w:lineRule="auto"/>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506FC"/>
    <w:pPr>
      <w:spacing w:line="240" w:lineRule="auto"/>
    </w:pPr>
    <w:rPr>
      <w:rFonts w:ascii="Calibri" w:hAnsi="Calibri" w:cs="Calibri"/>
      <w:lang w:eastAsia="en-GB"/>
    </w:rPr>
  </w:style>
  <w:style w:type="paragraph" w:customStyle="1" w:styleId="xmsolistparagraph">
    <w:name w:val="x_msolistparagraph"/>
    <w:basedOn w:val="Normal"/>
    <w:rsid w:val="004506FC"/>
    <w:pPr>
      <w:spacing w:line="240" w:lineRule="auto"/>
      <w:ind w:left="720"/>
    </w:pPr>
    <w:rPr>
      <w:rFonts w:ascii="Calibri" w:hAnsi="Calibri" w:cs="Calibri"/>
      <w:lang w:eastAsia="en-GB"/>
    </w:rPr>
  </w:style>
  <w:style w:type="character" w:styleId="CommentReference">
    <w:name w:val="annotation reference"/>
    <w:uiPriority w:val="99"/>
    <w:rsid w:val="00783B16"/>
    <w:rPr>
      <w:sz w:val="16"/>
      <w:szCs w:val="16"/>
    </w:rPr>
  </w:style>
  <w:style w:type="paragraph" w:styleId="CommentText">
    <w:name w:val="annotation text"/>
    <w:basedOn w:val="Normal"/>
    <w:link w:val="CommentTextChar"/>
    <w:uiPriority w:val="99"/>
    <w:rsid w:val="00783B16"/>
    <w:pPr>
      <w:spacing w:line="240" w:lineRule="auto"/>
    </w:pPr>
    <w:rPr>
      <w:rFonts w:ascii="Times New Roman" w:eastAsia="Times New Roman" w:hAnsi="Times New Roman" w:cs="Times New Roman"/>
      <w:sz w:val="20"/>
      <w:szCs w:val="20"/>
      <w:lang w:val="x-none" w:eastAsia="en-GB"/>
    </w:rPr>
  </w:style>
  <w:style w:type="character" w:customStyle="1" w:styleId="CommentTextChar">
    <w:name w:val="Comment Text Char"/>
    <w:basedOn w:val="DefaultParagraphFont"/>
    <w:link w:val="CommentText"/>
    <w:uiPriority w:val="99"/>
    <w:rsid w:val="00783B16"/>
    <w:rPr>
      <w:rFonts w:ascii="Times New Roman" w:eastAsia="Times New Roman" w:hAnsi="Times New Roman" w:cs="Times New Roman"/>
      <w:sz w:val="20"/>
      <w:szCs w:val="20"/>
      <w:lang w:val="x-none" w:eastAsia="en-GB"/>
    </w:rPr>
  </w:style>
  <w:style w:type="paragraph" w:styleId="ListParagraph">
    <w:name w:val="List Paragraph"/>
    <w:basedOn w:val="Normal"/>
    <w:uiPriority w:val="34"/>
    <w:qFormat/>
    <w:rsid w:val="00290CAD"/>
    <w:pPr>
      <w:widowControl w:val="0"/>
      <w:spacing w:before="280"/>
      <w:ind w:left="720"/>
      <w:contextualSpacing/>
    </w:pPr>
  </w:style>
  <w:style w:type="paragraph" w:styleId="CommentSubject">
    <w:name w:val="annotation subject"/>
    <w:basedOn w:val="CommentText"/>
    <w:next w:val="CommentText"/>
    <w:link w:val="CommentSubjectChar"/>
    <w:uiPriority w:val="99"/>
    <w:semiHidden/>
    <w:unhideWhenUsed/>
    <w:rsid w:val="008A0FF9"/>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8A0FF9"/>
    <w:rPr>
      <w:rFonts w:ascii="Times New Roman" w:eastAsia="Times New Roman" w:hAnsi="Times New Roman" w:cs="Times New Roman"/>
      <w:b/>
      <w:bCs/>
      <w:sz w:val="20"/>
      <w:szCs w:val="20"/>
      <w:lang w:val="x-none" w:eastAsia="en-GB"/>
    </w:rPr>
  </w:style>
  <w:style w:type="character" w:styleId="Hyperlink">
    <w:name w:val="Hyperlink"/>
    <w:basedOn w:val="DefaultParagraphFont"/>
    <w:uiPriority w:val="99"/>
    <w:unhideWhenUsed/>
    <w:rsid w:val="00C30CE4"/>
    <w:rPr>
      <w:color w:val="0563C1" w:themeColor="hyperlink"/>
      <w:u w:val="single"/>
    </w:rPr>
  </w:style>
  <w:style w:type="character" w:styleId="UnresolvedMention">
    <w:name w:val="Unresolved Mention"/>
    <w:basedOn w:val="DefaultParagraphFont"/>
    <w:uiPriority w:val="99"/>
    <w:unhideWhenUsed/>
    <w:rsid w:val="00C30CE4"/>
    <w:rPr>
      <w:color w:val="605E5C"/>
      <w:shd w:val="clear" w:color="auto" w:fill="E1DFDD"/>
    </w:rPr>
  </w:style>
  <w:style w:type="paragraph" w:styleId="BodyTextIndent">
    <w:name w:val="Body Text Indent"/>
    <w:basedOn w:val="Normal"/>
    <w:link w:val="BodyTextIndentChar"/>
    <w:rsid w:val="00937907"/>
    <w:pPr>
      <w:spacing w:line="240" w:lineRule="auto"/>
      <w:ind w:left="720" w:hanging="720"/>
    </w:pPr>
    <w:rPr>
      <w:rFonts w:ascii="Times New Roman" w:eastAsia="Times New Roman" w:hAnsi="Times New Roman" w:cs="Times New Roman"/>
      <w:sz w:val="20"/>
      <w:szCs w:val="20"/>
      <w:lang w:val="x-none" w:eastAsia="en-GB"/>
    </w:rPr>
  </w:style>
  <w:style w:type="character" w:customStyle="1" w:styleId="BodyTextIndentChar">
    <w:name w:val="Body Text Indent Char"/>
    <w:basedOn w:val="DefaultParagraphFont"/>
    <w:link w:val="BodyTextIndent"/>
    <w:rsid w:val="00937907"/>
    <w:rPr>
      <w:rFonts w:ascii="Times New Roman" w:eastAsia="Times New Roman" w:hAnsi="Times New Roman" w:cs="Times New Roman"/>
      <w:sz w:val="20"/>
      <w:szCs w:val="20"/>
      <w:lang w:val="x-none" w:eastAsia="en-GB"/>
    </w:rPr>
  </w:style>
  <w:style w:type="paragraph" w:styleId="Header">
    <w:name w:val="header"/>
    <w:basedOn w:val="Normal"/>
    <w:link w:val="HeaderChar"/>
    <w:uiPriority w:val="99"/>
    <w:unhideWhenUsed/>
    <w:rsid w:val="006B16D2"/>
    <w:pPr>
      <w:widowControl w:val="0"/>
      <w:tabs>
        <w:tab w:val="center" w:pos="4513"/>
        <w:tab w:val="right" w:pos="9026"/>
      </w:tabs>
      <w:spacing w:line="240" w:lineRule="auto"/>
    </w:pPr>
    <w:rPr>
      <w:rFonts w:ascii="Times New Roman" w:eastAsia="Times New Roman" w:hAnsi="Times New Roman" w:cs="Times New Roman"/>
      <w:snapToGrid w:val="0"/>
      <w:szCs w:val="20"/>
      <w:lang w:val="en-US" w:eastAsia="x-none"/>
    </w:rPr>
  </w:style>
  <w:style w:type="character" w:customStyle="1" w:styleId="HeaderChar">
    <w:name w:val="Header Char"/>
    <w:basedOn w:val="DefaultParagraphFont"/>
    <w:link w:val="Header"/>
    <w:uiPriority w:val="99"/>
    <w:rsid w:val="006B16D2"/>
    <w:rPr>
      <w:rFonts w:ascii="Times New Roman" w:eastAsia="Times New Roman" w:hAnsi="Times New Roman" w:cs="Times New Roman"/>
      <w:snapToGrid w:val="0"/>
      <w:sz w:val="24"/>
      <w:szCs w:val="20"/>
      <w:lang w:val="en-US" w:eastAsia="x-none"/>
    </w:rPr>
  </w:style>
  <w:style w:type="paragraph" w:styleId="Footer">
    <w:name w:val="footer"/>
    <w:basedOn w:val="Normal"/>
    <w:link w:val="FooterChar"/>
    <w:uiPriority w:val="99"/>
    <w:unhideWhenUsed/>
    <w:rsid w:val="006B16D2"/>
    <w:pPr>
      <w:tabs>
        <w:tab w:val="center" w:pos="4513"/>
        <w:tab w:val="right" w:pos="9026"/>
      </w:tabs>
      <w:spacing w:line="240" w:lineRule="auto"/>
    </w:pPr>
  </w:style>
  <w:style w:type="character" w:customStyle="1" w:styleId="FooterChar">
    <w:name w:val="Footer Char"/>
    <w:basedOn w:val="DefaultParagraphFont"/>
    <w:link w:val="Footer"/>
    <w:uiPriority w:val="99"/>
    <w:rsid w:val="006B16D2"/>
  </w:style>
  <w:style w:type="paragraph" w:styleId="BalloonText">
    <w:name w:val="Balloon Text"/>
    <w:basedOn w:val="Normal"/>
    <w:link w:val="BalloonTextChar"/>
    <w:uiPriority w:val="99"/>
    <w:semiHidden/>
    <w:unhideWhenUsed/>
    <w:rsid w:val="00F218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0B"/>
    <w:rPr>
      <w:rFonts w:ascii="Segoe UI" w:hAnsi="Segoe UI" w:cs="Segoe UI"/>
      <w:sz w:val="18"/>
      <w:szCs w:val="18"/>
    </w:rPr>
  </w:style>
  <w:style w:type="character" w:styleId="Mention">
    <w:name w:val="Mention"/>
    <w:basedOn w:val="DefaultParagraphFont"/>
    <w:uiPriority w:val="99"/>
    <w:unhideWhenUsed/>
    <w:rsid w:val="00BA2F3D"/>
    <w:rPr>
      <w:color w:val="2B579A"/>
      <w:shd w:val="clear" w:color="auto" w:fill="E1DFDD"/>
    </w:rPr>
  </w:style>
  <w:style w:type="paragraph" w:styleId="Revision">
    <w:name w:val="Revision"/>
    <w:hidden/>
    <w:uiPriority w:val="99"/>
    <w:semiHidden/>
    <w:rsid w:val="00BE7629"/>
    <w:pPr>
      <w:spacing w:after="0" w:line="240" w:lineRule="auto"/>
    </w:pPr>
  </w:style>
  <w:style w:type="character" w:styleId="FollowedHyperlink">
    <w:name w:val="FollowedHyperlink"/>
    <w:basedOn w:val="DefaultParagraphFont"/>
    <w:uiPriority w:val="99"/>
    <w:semiHidden/>
    <w:unhideWhenUsed/>
    <w:rsid w:val="00BE7629"/>
    <w:rPr>
      <w:color w:val="954F72" w:themeColor="followedHyperlink"/>
      <w:u w:val="single"/>
    </w:rPr>
  </w:style>
  <w:style w:type="character" w:customStyle="1" w:styleId="Heading2Char">
    <w:name w:val="Heading 2 Char"/>
    <w:basedOn w:val="DefaultParagraphFont"/>
    <w:link w:val="Heading2"/>
    <w:uiPriority w:val="9"/>
    <w:rsid w:val="00290CAD"/>
    <w:rPr>
      <w:rFonts w:ascii="Arial" w:eastAsiaTheme="majorEastAsia" w:hAnsi="Arial" w:cstheme="majorBidi"/>
      <w:b/>
      <w:color w:val="000000" w:themeColor="text1"/>
      <w:sz w:val="32"/>
      <w:szCs w:val="26"/>
    </w:rPr>
  </w:style>
  <w:style w:type="table" w:styleId="TableGridLight">
    <w:name w:val="Grid Table Light"/>
    <w:basedOn w:val="TableNormal"/>
    <w:uiPriority w:val="40"/>
    <w:rsid w:val="008516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5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90CAD"/>
    <w:rPr>
      <w:rFonts w:ascii="Arial" w:eastAsiaTheme="majorEastAsia" w:hAnsi="Arial" w:cstheme="majorBidi"/>
      <w:b/>
      <w:sz w:val="28"/>
      <w:szCs w:val="24"/>
    </w:rPr>
  </w:style>
  <w:style w:type="character" w:customStyle="1" w:styleId="Heading1Char">
    <w:name w:val="Heading 1 Char"/>
    <w:basedOn w:val="DefaultParagraphFont"/>
    <w:link w:val="Heading1"/>
    <w:uiPriority w:val="9"/>
    <w:rsid w:val="00290CAD"/>
    <w:rPr>
      <w:rFonts w:ascii="Arial" w:eastAsiaTheme="majorEastAsia" w:hAnsi="Arial" w:cstheme="majorBidi"/>
      <w:b/>
      <w:color w:val="000000" w:themeColor="text1"/>
      <w:sz w:val="36"/>
      <w:szCs w:val="32"/>
    </w:rPr>
  </w:style>
  <w:style w:type="paragraph" w:styleId="TOCHeading">
    <w:name w:val="TOC Heading"/>
    <w:basedOn w:val="Heading1"/>
    <w:next w:val="Normal"/>
    <w:uiPriority w:val="39"/>
    <w:unhideWhenUsed/>
    <w:qFormat/>
    <w:rsid w:val="00857FCA"/>
    <w:pPr>
      <w:outlineLvl w:val="9"/>
    </w:pPr>
    <w:rPr>
      <w:lang w:val="en-US"/>
    </w:rPr>
  </w:style>
  <w:style w:type="paragraph" w:styleId="TOC3">
    <w:name w:val="toc 3"/>
    <w:basedOn w:val="Normal"/>
    <w:next w:val="Normal"/>
    <w:autoRedefine/>
    <w:uiPriority w:val="39"/>
    <w:unhideWhenUsed/>
    <w:rsid w:val="00857FCA"/>
    <w:pPr>
      <w:spacing w:after="100"/>
      <w:ind w:left="440"/>
    </w:pPr>
  </w:style>
  <w:style w:type="paragraph" w:styleId="TOC2">
    <w:name w:val="toc 2"/>
    <w:basedOn w:val="Normal"/>
    <w:next w:val="Normal"/>
    <w:autoRedefine/>
    <w:uiPriority w:val="39"/>
    <w:unhideWhenUsed/>
    <w:rsid w:val="00E7063A"/>
    <w:pPr>
      <w:tabs>
        <w:tab w:val="right" w:leader="dot" w:pos="9016"/>
      </w:tabs>
      <w:spacing w:line="240" w:lineRule="auto"/>
      <w:ind w:left="220"/>
    </w:pPr>
  </w:style>
  <w:style w:type="paragraph" w:styleId="TOC1">
    <w:name w:val="toc 1"/>
    <w:basedOn w:val="Normal"/>
    <w:next w:val="Normal"/>
    <w:autoRedefine/>
    <w:uiPriority w:val="39"/>
    <w:unhideWhenUsed/>
    <w:rsid w:val="00A33A6C"/>
    <w:pPr>
      <w:spacing w:after="100"/>
    </w:pPr>
  </w:style>
  <w:style w:type="paragraph" w:styleId="NoSpacing">
    <w:name w:val="No Spacing"/>
    <w:uiPriority w:val="1"/>
    <w:qFormat/>
    <w:rsid w:val="00516A6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748808">
      <w:bodyDiv w:val="1"/>
      <w:marLeft w:val="0"/>
      <w:marRight w:val="0"/>
      <w:marTop w:val="0"/>
      <w:marBottom w:val="0"/>
      <w:divBdr>
        <w:top w:val="none" w:sz="0" w:space="0" w:color="auto"/>
        <w:left w:val="none" w:sz="0" w:space="0" w:color="auto"/>
        <w:bottom w:val="none" w:sz="0" w:space="0" w:color="auto"/>
        <w:right w:val="none" w:sz="0" w:space="0" w:color="auto"/>
      </w:divBdr>
    </w:div>
    <w:div w:id="1210923415">
      <w:bodyDiv w:val="1"/>
      <w:marLeft w:val="0"/>
      <w:marRight w:val="0"/>
      <w:marTop w:val="0"/>
      <w:marBottom w:val="0"/>
      <w:divBdr>
        <w:top w:val="none" w:sz="0" w:space="0" w:color="auto"/>
        <w:left w:val="none" w:sz="0" w:space="0" w:color="auto"/>
        <w:bottom w:val="none" w:sz="0" w:space="0" w:color="auto"/>
        <w:right w:val="none" w:sz="0" w:space="0" w:color="auto"/>
      </w:divBdr>
    </w:div>
    <w:div w:id="1377508158">
      <w:bodyDiv w:val="1"/>
      <w:marLeft w:val="0"/>
      <w:marRight w:val="0"/>
      <w:marTop w:val="0"/>
      <w:marBottom w:val="0"/>
      <w:divBdr>
        <w:top w:val="none" w:sz="0" w:space="0" w:color="auto"/>
        <w:left w:val="none" w:sz="0" w:space="0" w:color="auto"/>
        <w:bottom w:val="none" w:sz="0" w:space="0" w:color="auto"/>
        <w:right w:val="none" w:sz="0" w:space="0" w:color="auto"/>
      </w:divBdr>
    </w:div>
    <w:div w:id="2021201967">
      <w:bodyDiv w:val="1"/>
      <w:marLeft w:val="0"/>
      <w:marRight w:val="0"/>
      <w:marTop w:val="0"/>
      <w:marBottom w:val="0"/>
      <w:divBdr>
        <w:top w:val="none" w:sz="0" w:space="0" w:color="auto"/>
        <w:left w:val="none" w:sz="0" w:space="0" w:color="auto"/>
        <w:bottom w:val="none" w:sz="0" w:space="0" w:color="auto"/>
        <w:right w:val="none" w:sz="0" w:space="0" w:color="auto"/>
      </w:divBdr>
    </w:div>
    <w:div w:id="205376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fficeforstudents.org.uk/media/53821cbf-5779-4380-bf2a-aa8f5c53ecd4/sector-recognised-standard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02069-5BE6-4907-A462-D5C873B91A60}">
  <ds:schemaRefs>
    <ds:schemaRef ds:uri="http://schemas.microsoft.com/sharepoint/v3/contenttype/forms"/>
  </ds:schemaRefs>
</ds:datastoreItem>
</file>

<file path=customXml/itemProps2.xml><?xml version="1.0" encoding="utf-8"?>
<ds:datastoreItem xmlns:ds="http://schemas.openxmlformats.org/officeDocument/2006/customXml" ds:itemID="{9831347C-3F3F-4A13-B676-E806043B0952}">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0D995B02-6E3E-42E3-9F5B-FD7BE1315931}">
  <ds:schemaRefs>
    <ds:schemaRef ds:uri="http://schemas.openxmlformats.org/officeDocument/2006/bibliography"/>
  </ds:schemaRefs>
</ds:datastoreItem>
</file>

<file path=customXml/itemProps4.xml><?xml version="1.0" encoding="utf-8"?>
<ds:datastoreItem xmlns:ds="http://schemas.openxmlformats.org/officeDocument/2006/customXml" ds:itemID="{FAEB2568-D7F2-41A4-AFD8-74F110F0D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15</Pages>
  <Words>5317</Words>
  <Characters>30308</Characters>
  <Application>Microsoft Office Word</Application>
  <DocSecurity>0</DocSecurity>
  <Lines>252</Lines>
  <Paragraphs>71</Paragraphs>
  <ScaleCrop>false</ScaleCrop>
  <Company/>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Dominic A</dc:creator>
  <cp:keywords/>
  <dc:description/>
  <cp:lastModifiedBy>Corcoran, Linda</cp:lastModifiedBy>
  <cp:revision>480</cp:revision>
  <cp:lastPrinted>2022-03-09T07:38:00Z</cp:lastPrinted>
  <dcterms:created xsi:type="dcterms:W3CDTF">2022-03-09T07:33:00Z</dcterms:created>
  <dcterms:modified xsi:type="dcterms:W3CDTF">2025-07-18T10:47:00Z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KU69970@kingston.ac.uk</vt:lpwstr>
  </property>
  <property fmtid="{D5CDD505-2E9C-101B-9397-08002B2CF9AE}" pid="5" name="MSIP_Label_3b551598-29da-492a-8b9f-8358cd43dd03_SetDate">
    <vt:lpwstr>2021-11-30T09:40:28.3193636Z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18422175-a46b-415d-b23f-41e8932a96b9</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0x010100AF47C6D639642C4882A310EAFDB93A7F</vt:lpwstr>
  </property>
  <property fmtid="{D5CDD505-2E9C-101B-9397-08002B2CF9AE}" pid="12" name="TaxKeyword">
    <vt:lpwstr/>
  </property>
</Properties>
</file>