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185861" w14:textId="77777777" w:rsidR="0046369F" w:rsidRPr="00F70EA5" w:rsidRDefault="00FE2A4E" w:rsidP="00F70EA5">
      <w:pPr>
        <w:pStyle w:val="Heading1"/>
        <w:jc w:val="center"/>
      </w:pPr>
      <w:bookmarkStart w:id="0" w:name="_Toc98234327"/>
      <w:bookmarkStart w:id="1" w:name="_Toc103775159"/>
      <w:bookmarkStart w:id="2" w:name="_Toc142413334"/>
      <w:r>
        <w:t>Guidance IG(v)</w:t>
      </w:r>
      <w:bookmarkEnd w:id="0"/>
      <w:bookmarkEnd w:id="1"/>
      <w:bookmarkEnd w:id="2"/>
    </w:p>
    <w:p w14:paraId="1CB5B155" w14:textId="77777777" w:rsidR="008F3943" w:rsidRPr="00F70EA5" w:rsidRDefault="0046369F" w:rsidP="00F70EA5">
      <w:pPr>
        <w:pStyle w:val="Heading1"/>
        <w:jc w:val="center"/>
      </w:pPr>
      <w:bookmarkStart w:id="3" w:name="_Toc98234328"/>
      <w:bookmarkStart w:id="4" w:name="_Toc103775160"/>
      <w:bookmarkStart w:id="5" w:name="_Toc142413335"/>
      <w:r>
        <w:t xml:space="preserve">Rights and Responsibilities of </w:t>
      </w:r>
      <w:r w:rsidR="00C173DF">
        <w:t>Programme Assessment</w:t>
      </w:r>
      <w:r w:rsidR="006A25B4">
        <w:t xml:space="preserve"> Board </w:t>
      </w:r>
      <w:r w:rsidR="00621682">
        <w:t>External Examiner</w:t>
      </w:r>
      <w:bookmarkEnd w:id="3"/>
      <w:bookmarkEnd w:id="4"/>
      <w:bookmarkEnd w:id="5"/>
    </w:p>
    <w:p w14:paraId="1C5588ED" w14:textId="05FDB6E5" w:rsidR="003A12EA" w:rsidRPr="003A12EA" w:rsidRDefault="008F3943" w:rsidP="003A12EA">
      <w:pPr>
        <w:pStyle w:val="Heading2"/>
        <w:jc w:val="center"/>
      </w:pPr>
      <w:bookmarkStart w:id="6" w:name="_Toc103775161"/>
      <w:bookmarkStart w:id="7" w:name="_Toc142413336"/>
      <w:r>
        <w:t>Contents</w:t>
      </w:r>
      <w:bookmarkEnd w:id="6"/>
      <w:bookmarkEnd w:id="7"/>
    </w:p>
    <w:p w14:paraId="145EDE27" w14:textId="28B09AF1" w:rsidR="0001523B" w:rsidRDefault="55805522">
      <w:pPr>
        <w:pStyle w:val="TOC1"/>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r>
        <w:fldChar w:fldCharType="begin"/>
      </w:r>
      <w:r w:rsidR="00E13464">
        <w:instrText>TOC \o "1-3" \h \z \u</w:instrText>
      </w:r>
      <w:r>
        <w:fldChar w:fldCharType="separate"/>
      </w:r>
      <w:hyperlink w:anchor="_Toc142413334" w:history="1">
        <w:r w:rsidR="0001523B" w:rsidRPr="009D76F3">
          <w:rPr>
            <w:rStyle w:val="Hyperlink"/>
            <w:noProof/>
          </w:rPr>
          <w:t>Guidance IG(v)</w:t>
        </w:r>
        <w:r w:rsidR="0001523B">
          <w:rPr>
            <w:noProof/>
            <w:webHidden/>
          </w:rPr>
          <w:tab/>
        </w:r>
        <w:r w:rsidR="0001523B">
          <w:rPr>
            <w:noProof/>
            <w:webHidden/>
          </w:rPr>
          <w:fldChar w:fldCharType="begin"/>
        </w:r>
        <w:r w:rsidR="0001523B">
          <w:rPr>
            <w:noProof/>
            <w:webHidden/>
          </w:rPr>
          <w:instrText xml:space="preserve"> PAGEREF _Toc142413334 \h </w:instrText>
        </w:r>
        <w:r w:rsidR="0001523B">
          <w:rPr>
            <w:noProof/>
            <w:webHidden/>
          </w:rPr>
        </w:r>
        <w:r w:rsidR="0001523B">
          <w:rPr>
            <w:noProof/>
            <w:webHidden/>
          </w:rPr>
          <w:fldChar w:fldCharType="separate"/>
        </w:r>
        <w:r w:rsidR="0001523B">
          <w:rPr>
            <w:noProof/>
            <w:webHidden/>
          </w:rPr>
          <w:t>1</w:t>
        </w:r>
        <w:r w:rsidR="0001523B">
          <w:rPr>
            <w:noProof/>
            <w:webHidden/>
          </w:rPr>
          <w:fldChar w:fldCharType="end"/>
        </w:r>
      </w:hyperlink>
    </w:p>
    <w:p w14:paraId="167D34DE" w14:textId="505D2F87" w:rsidR="0001523B" w:rsidRDefault="0001523B">
      <w:pPr>
        <w:pStyle w:val="TOC1"/>
        <w:tabs>
          <w:tab w:val="right" w:leader="dot" w:pos="9016"/>
        </w:tabs>
        <w:rPr>
          <w:rFonts w:asciiTheme="minorHAnsi" w:eastAsiaTheme="minorEastAsia" w:hAnsiTheme="minorHAnsi" w:cstheme="minorBidi"/>
          <w:noProof/>
          <w:snapToGrid/>
          <w:kern w:val="2"/>
          <w:sz w:val="22"/>
          <w:szCs w:val="22"/>
          <w:lang w:val="en-GB" w:eastAsia="en-GB"/>
          <w14:ligatures w14:val="standardContextual"/>
        </w:rPr>
      </w:pPr>
      <w:hyperlink w:anchor="_Toc142413335" w:history="1">
        <w:r w:rsidRPr="009D76F3">
          <w:rPr>
            <w:rStyle w:val="Hyperlink"/>
            <w:noProof/>
          </w:rPr>
          <w:t>Rights and Responsibilities of Programme Assessment Board External Examiner</w:t>
        </w:r>
        <w:r>
          <w:rPr>
            <w:noProof/>
            <w:webHidden/>
          </w:rPr>
          <w:tab/>
        </w:r>
        <w:r>
          <w:rPr>
            <w:noProof/>
            <w:webHidden/>
          </w:rPr>
          <w:fldChar w:fldCharType="begin"/>
        </w:r>
        <w:r>
          <w:rPr>
            <w:noProof/>
            <w:webHidden/>
          </w:rPr>
          <w:instrText xml:space="preserve"> PAGEREF _Toc142413335 \h </w:instrText>
        </w:r>
        <w:r>
          <w:rPr>
            <w:noProof/>
            <w:webHidden/>
          </w:rPr>
        </w:r>
        <w:r>
          <w:rPr>
            <w:noProof/>
            <w:webHidden/>
          </w:rPr>
          <w:fldChar w:fldCharType="separate"/>
        </w:r>
        <w:r>
          <w:rPr>
            <w:noProof/>
            <w:webHidden/>
          </w:rPr>
          <w:t>1</w:t>
        </w:r>
        <w:r>
          <w:rPr>
            <w:noProof/>
            <w:webHidden/>
          </w:rPr>
          <w:fldChar w:fldCharType="end"/>
        </w:r>
      </w:hyperlink>
    </w:p>
    <w:p w14:paraId="5C61F30D" w14:textId="137C01C4" w:rsidR="0001523B" w:rsidRDefault="0001523B" w:rsidP="00481346">
      <w:pPr>
        <w:pStyle w:val="TOC2"/>
        <w:tabs>
          <w:tab w:val="right" w:leader="dot" w:pos="9016"/>
        </w:tabs>
        <w:ind w:left="0"/>
        <w:rPr>
          <w:rFonts w:asciiTheme="minorHAnsi" w:eastAsiaTheme="minorEastAsia" w:hAnsiTheme="minorHAnsi" w:cstheme="minorBidi"/>
          <w:noProof/>
          <w:snapToGrid/>
          <w:kern w:val="2"/>
          <w:sz w:val="22"/>
          <w:szCs w:val="22"/>
          <w:lang w:val="en-GB" w:eastAsia="en-GB"/>
          <w14:ligatures w14:val="standardContextual"/>
        </w:rPr>
      </w:pPr>
      <w:hyperlink w:anchor="_Toc142413336" w:history="1">
        <w:r w:rsidRPr="009D76F3">
          <w:rPr>
            <w:rStyle w:val="Hyperlink"/>
            <w:noProof/>
          </w:rPr>
          <w:t>Contents</w:t>
        </w:r>
        <w:r>
          <w:rPr>
            <w:noProof/>
            <w:webHidden/>
          </w:rPr>
          <w:tab/>
        </w:r>
        <w:r>
          <w:rPr>
            <w:noProof/>
            <w:webHidden/>
          </w:rPr>
          <w:fldChar w:fldCharType="begin"/>
        </w:r>
        <w:r>
          <w:rPr>
            <w:noProof/>
            <w:webHidden/>
          </w:rPr>
          <w:instrText xml:space="preserve"> PAGEREF _Toc142413336 \h </w:instrText>
        </w:r>
        <w:r>
          <w:rPr>
            <w:noProof/>
            <w:webHidden/>
          </w:rPr>
        </w:r>
        <w:r>
          <w:rPr>
            <w:noProof/>
            <w:webHidden/>
          </w:rPr>
          <w:fldChar w:fldCharType="separate"/>
        </w:r>
        <w:r>
          <w:rPr>
            <w:noProof/>
            <w:webHidden/>
          </w:rPr>
          <w:t>1</w:t>
        </w:r>
        <w:r>
          <w:rPr>
            <w:noProof/>
            <w:webHidden/>
          </w:rPr>
          <w:fldChar w:fldCharType="end"/>
        </w:r>
      </w:hyperlink>
    </w:p>
    <w:p w14:paraId="34B621B9" w14:textId="65C041A1" w:rsidR="0001523B" w:rsidRDefault="0001523B" w:rsidP="00481346">
      <w:pPr>
        <w:pStyle w:val="TOC2"/>
        <w:tabs>
          <w:tab w:val="right" w:leader="dot" w:pos="9016"/>
        </w:tabs>
        <w:ind w:left="0"/>
        <w:rPr>
          <w:rFonts w:asciiTheme="minorHAnsi" w:eastAsiaTheme="minorEastAsia" w:hAnsiTheme="minorHAnsi" w:cstheme="minorBidi"/>
          <w:noProof/>
          <w:snapToGrid/>
          <w:kern w:val="2"/>
          <w:sz w:val="22"/>
          <w:szCs w:val="22"/>
          <w:lang w:val="en-GB" w:eastAsia="en-GB"/>
          <w14:ligatures w14:val="standardContextual"/>
        </w:rPr>
      </w:pPr>
      <w:hyperlink w:anchor="_Toc142413337" w:history="1">
        <w:r w:rsidRPr="009D76F3">
          <w:rPr>
            <w:rStyle w:val="Hyperlink"/>
            <w:noProof/>
            <w:lang w:val="en-GB"/>
          </w:rPr>
          <w:t>Role of the Programme Assessment Board External Examiner</w:t>
        </w:r>
        <w:r>
          <w:rPr>
            <w:noProof/>
            <w:webHidden/>
          </w:rPr>
          <w:tab/>
        </w:r>
        <w:r>
          <w:rPr>
            <w:noProof/>
            <w:webHidden/>
          </w:rPr>
          <w:fldChar w:fldCharType="begin"/>
        </w:r>
        <w:r>
          <w:rPr>
            <w:noProof/>
            <w:webHidden/>
          </w:rPr>
          <w:instrText xml:space="preserve"> PAGEREF _Toc142413337 \h </w:instrText>
        </w:r>
        <w:r>
          <w:rPr>
            <w:noProof/>
            <w:webHidden/>
          </w:rPr>
        </w:r>
        <w:r>
          <w:rPr>
            <w:noProof/>
            <w:webHidden/>
          </w:rPr>
          <w:fldChar w:fldCharType="separate"/>
        </w:r>
        <w:r>
          <w:rPr>
            <w:noProof/>
            <w:webHidden/>
          </w:rPr>
          <w:t>1</w:t>
        </w:r>
        <w:r>
          <w:rPr>
            <w:noProof/>
            <w:webHidden/>
          </w:rPr>
          <w:fldChar w:fldCharType="end"/>
        </w:r>
      </w:hyperlink>
    </w:p>
    <w:p w14:paraId="4A38948B" w14:textId="2B70D87D" w:rsidR="0001523B" w:rsidRDefault="0001523B" w:rsidP="00481346">
      <w:pPr>
        <w:pStyle w:val="TOC2"/>
        <w:tabs>
          <w:tab w:val="right" w:leader="dot" w:pos="9016"/>
        </w:tabs>
        <w:ind w:left="0"/>
        <w:rPr>
          <w:rFonts w:asciiTheme="minorHAnsi" w:eastAsiaTheme="minorEastAsia" w:hAnsiTheme="minorHAnsi" w:cstheme="minorBidi"/>
          <w:noProof/>
          <w:snapToGrid/>
          <w:kern w:val="2"/>
          <w:sz w:val="22"/>
          <w:szCs w:val="22"/>
          <w:lang w:val="en-GB" w:eastAsia="en-GB"/>
          <w14:ligatures w14:val="standardContextual"/>
        </w:rPr>
      </w:pPr>
      <w:hyperlink w:anchor="_Toc142413338" w:history="1">
        <w:r w:rsidRPr="009D76F3">
          <w:rPr>
            <w:rStyle w:val="Hyperlink"/>
            <w:noProof/>
            <w:lang w:val="en-GB"/>
          </w:rPr>
          <w:t>Programme Assessment Boards</w:t>
        </w:r>
        <w:r>
          <w:rPr>
            <w:noProof/>
            <w:webHidden/>
          </w:rPr>
          <w:tab/>
        </w:r>
        <w:r>
          <w:rPr>
            <w:noProof/>
            <w:webHidden/>
          </w:rPr>
          <w:fldChar w:fldCharType="begin"/>
        </w:r>
        <w:r>
          <w:rPr>
            <w:noProof/>
            <w:webHidden/>
          </w:rPr>
          <w:instrText xml:space="preserve"> PAGEREF _Toc142413338 \h </w:instrText>
        </w:r>
        <w:r>
          <w:rPr>
            <w:noProof/>
            <w:webHidden/>
          </w:rPr>
        </w:r>
        <w:r>
          <w:rPr>
            <w:noProof/>
            <w:webHidden/>
          </w:rPr>
          <w:fldChar w:fldCharType="separate"/>
        </w:r>
        <w:r>
          <w:rPr>
            <w:noProof/>
            <w:webHidden/>
          </w:rPr>
          <w:t>1</w:t>
        </w:r>
        <w:r>
          <w:rPr>
            <w:noProof/>
            <w:webHidden/>
          </w:rPr>
          <w:fldChar w:fldCharType="end"/>
        </w:r>
      </w:hyperlink>
    </w:p>
    <w:p w14:paraId="77A76645" w14:textId="09D7A05C" w:rsidR="0001523B" w:rsidRDefault="0001523B" w:rsidP="00481346">
      <w:pPr>
        <w:pStyle w:val="TOC2"/>
        <w:tabs>
          <w:tab w:val="right" w:leader="dot" w:pos="9016"/>
        </w:tabs>
        <w:ind w:left="0"/>
        <w:rPr>
          <w:rFonts w:asciiTheme="minorHAnsi" w:eastAsiaTheme="minorEastAsia" w:hAnsiTheme="minorHAnsi" w:cstheme="minorBidi"/>
          <w:noProof/>
          <w:snapToGrid/>
          <w:kern w:val="2"/>
          <w:sz w:val="22"/>
          <w:szCs w:val="22"/>
          <w:lang w:val="en-GB" w:eastAsia="en-GB"/>
          <w14:ligatures w14:val="standardContextual"/>
        </w:rPr>
      </w:pPr>
      <w:hyperlink w:anchor="_Toc142413339" w:history="1">
        <w:r w:rsidRPr="009D76F3">
          <w:rPr>
            <w:rStyle w:val="Hyperlink"/>
            <w:noProof/>
            <w:lang w:val="en-GB"/>
          </w:rPr>
          <w:t>Verification of the Recommendations of Programme Assessment Board</w:t>
        </w:r>
        <w:r>
          <w:rPr>
            <w:noProof/>
            <w:webHidden/>
          </w:rPr>
          <w:tab/>
        </w:r>
        <w:r>
          <w:rPr>
            <w:noProof/>
            <w:webHidden/>
          </w:rPr>
          <w:fldChar w:fldCharType="begin"/>
        </w:r>
        <w:r>
          <w:rPr>
            <w:noProof/>
            <w:webHidden/>
          </w:rPr>
          <w:instrText xml:space="preserve"> PAGEREF _Toc142413339 \h </w:instrText>
        </w:r>
        <w:r>
          <w:rPr>
            <w:noProof/>
            <w:webHidden/>
          </w:rPr>
        </w:r>
        <w:r>
          <w:rPr>
            <w:noProof/>
            <w:webHidden/>
          </w:rPr>
          <w:fldChar w:fldCharType="separate"/>
        </w:r>
        <w:r>
          <w:rPr>
            <w:noProof/>
            <w:webHidden/>
          </w:rPr>
          <w:t>2</w:t>
        </w:r>
        <w:r>
          <w:rPr>
            <w:noProof/>
            <w:webHidden/>
          </w:rPr>
          <w:fldChar w:fldCharType="end"/>
        </w:r>
      </w:hyperlink>
    </w:p>
    <w:p w14:paraId="6C0B53BC" w14:textId="63745396" w:rsidR="0001523B" w:rsidRDefault="0001523B" w:rsidP="00481346">
      <w:pPr>
        <w:pStyle w:val="TOC2"/>
        <w:tabs>
          <w:tab w:val="right" w:leader="dot" w:pos="9016"/>
        </w:tabs>
        <w:ind w:left="0"/>
        <w:rPr>
          <w:rFonts w:asciiTheme="minorHAnsi" w:eastAsiaTheme="minorEastAsia" w:hAnsiTheme="minorHAnsi" w:cstheme="minorBidi"/>
          <w:noProof/>
          <w:snapToGrid/>
          <w:kern w:val="2"/>
          <w:sz w:val="22"/>
          <w:szCs w:val="22"/>
          <w:lang w:val="en-GB" w:eastAsia="en-GB"/>
          <w14:ligatures w14:val="standardContextual"/>
        </w:rPr>
      </w:pPr>
      <w:hyperlink w:anchor="_Toc142413340" w:history="1">
        <w:r w:rsidRPr="009D76F3">
          <w:rPr>
            <w:rStyle w:val="Hyperlink"/>
            <w:noProof/>
            <w:lang w:val="en-GB"/>
          </w:rPr>
          <w:t>External Examiners’ Annual Reports</w:t>
        </w:r>
        <w:r>
          <w:rPr>
            <w:noProof/>
            <w:webHidden/>
          </w:rPr>
          <w:tab/>
        </w:r>
        <w:r>
          <w:rPr>
            <w:noProof/>
            <w:webHidden/>
          </w:rPr>
          <w:fldChar w:fldCharType="begin"/>
        </w:r>
        <w:r>
          <w:rPr>
            <w:noProof/>
            <w:webHidden/>
          </w:rPr>
          <w:instrText xml:space="preserve"> PAGEREF _Toc142413340 \h </w:instrText>
        </w:r>
        <w:r>
          <w:rPr>
            <w:noProof/>
            <w:webHidden/>
          </w:rPr>
        </w:r>
        <w:r>
          <w:rPr>
            <w:noProof/>
            <w:webHidden/>
          </w:rPr>
          <w:fldChar w:fldCharType="separate"/>
        </w:r>
        <w:r>
          <w:rPr>
            <w:noProof/>
            <w:webHidden/>
          </w:rPr>
          <w:t>2</w:t>
        </w:r>
        <w:r>
          <w:rPr>
            <w:noProof/>
            <w:webHidden/>
          </w:rPr>
          <w:fldChar w:fldCharType="end"/>
        </w:r>
      </w:hyperlink>
    </w:p>
    <w:p w14:paraId="09983814" w14:textId="57BFEF33" w:rsidR="0001523B" w:rsidRDefault="0001523B" w:rsidP="00481346">
      <w:pPr>
        <w:pStyle w:val="TOC2"/>
        <w:tabs>
          <w:tab w:val="right" w:leader="dot" w:pos="9016"/>
        </w:tabs>
        <w:ind w:left="0"/>
        <w:rPr>
          <w:rFonts w:asciiTheme="minorHAnsi" w:eastAsiaTheme="minorEastAsia" w:hAnsiTheme="minorHAnsi" w:cstheme="minorBidi"/>
          <w:noProof/>
          <w:snapToGrid/>
          <w:kern w:val="2"/>
          <w:sz w:val="22"/>
          <w:szCs w:val="22"/>
          <w:lang w:val="en-GB" w:eastAsia="en-GB"/>
          <w14:ligatures w14:val="standardContextual"/>
        </w:rPr>
      </w:pPr>
      <w:hyperlink w:anchor="_Toc142413341" w:history="1">
        <w:r w:rsidRPr="009D76F3">
          <w:rPr>
            <w:rStyle w:val="Hyperlink"/>
            <w:noProof/>
            <w:lang w:val="en-GB"/>
          </w:rPr>
          <w:t>Feedback to External Examiners</w:t>
        </w:r>
        <w:r>
          <w:rPr>
            <w:noProof/>
            <w:webHidden/>
          </w:rPr>
          <w:tab/>
        </w:r>
        <w:r>
          <w:rPr>
            <w:noProof/>
            <w:webHidden/>
          </w:rPr>
          <w:fldChar w:fldCharType="begin"/>
        </w:r>
        <w:r>
          <w:rPr>
            <w:noProof/>
            <w:webHidden/>
          </w:rPr>
          <w:instrText xml:space="preserve"> PAGEREF _Toc142413341 \h </w:instrText>
        </w:r>
        <w:r>
          <w:rPr>
            <w:noProof/>
            <w:webHidden/>
          </w:rPr>
        </w:r>
        <w:r>
          <w:rPr>
            <w:noProof/>
            <w:webHidden/>
          </w:rPr>
          <w:fldChar w:fldCharType="separate"/>
        </w:r>
        <w:r>
          <w:rPr>
            <w:noProof/>
            <w:webHidden/>
          </w:rPr>
          <w:t>3</w:t>
        </w:r>
        <w:r>
          <w:rPr>
            <w:noProof/>
            <w:webHidden/>
          </w:rPr>
          <w:fldChar w:fldCharType="end"/>
        </w:r>
      </w:hyperlink>
    </w:p>
    <w:p w14:paraId="2FAC1695" w14:textId="47AF10AB" w:rsidR="0001523B" w:rsidRDefault="0001523B" w:rsidP="00481346">
      <w:pPr>
        <w:pStyle w:val="TOC2"/>
        <w:tabs>
          <w:tab w:val="right" w:leader="dot" w:pos="9016"/>
        </w:tabs>
        <w:ind w:left="0"/>
        <w:rPr>
          <w:rFonts w:asciiTheme="minorHAnsi" w:eastAsiaTheme="minorEastAsia" w:hAnsiTheme="minorHAnsi" w:cstheme="minorBidi"/>
          <w:noProof/>
          <w:snapToGrid/>
          <w:kern w:val="2"/>
          <w:sz w:val="22"/>
          <w:szCs w:val="22"/>
          <w:lang w:val="en-GB" w:eastAsia="en-GB"/>
          <w14:ligatures w14:val="standardContextual"/>
        </w:rPr>
      </w:pPr>
      <w:hyperlink w:anchor="_Toc142413342" w:history="1">
        <w:r w:rsidRPr="009D76F3">
          <w:rPr>
            <w:rStyle w:val="Hyperlink"/>
            <w:noProof/>
            <w:lang w:val="en-GB"/>
          </w:rPr>
          <w:t>Data protection, freedom of information and copyright</w:t>
        </w:r>
        <w:r>
          <w:rPr>
            <w:noProof/>
            <w:webHidden/>
          </w:rPr>
          <w:tab/>
        </w:r>
        <w:r>
          <w:rPr>
            <w:noProof/>
            <w:webHidden/>
          </w:rPr>
          <w:fldChar w:fldCharType="begin"/>
        </w:r>
        <w:r>
          <w:rPr>
            <w:noProof/>
            <w:webHidden/>
          </w:rPr>
          <w:instrText xml:space="preserve"> PAGEREF _Toc142413342 \h </w:instrText>
        </w:r>
        <w:r>
          <w:rPr>
            <w:noProof/>
            <w:webHidden/>
          </w:rPr>
        </w:r>
        <w:r>
          <w:rPr>
            <w:noProof/>
            <w:webHidden/>
          </w:rPr>
          <w:fldChar w:fldCharType="separate"/>
        </w:r>
        <w:r>
          <w:rPr>
            <w:noProof/>
            <w:webHidden/>
          </w:rPr>
          <w:t>3</w:t>
        </w:r>
        <w:r>
          <w:rPr>
            <w:noProof/>
            <w:webHidden/>
          </w:rPr>
          <w:fldChar w:fldCharType="end"/>
        </w:r>
      </w:hyperlink>
    </w:p>
    <w:p w14:paraId="5647FF14" w14:textId="77EB1842" w:rsidR="55805522" w:rsidRDefault="55805522" w:rsidP="55805522">
      <w:pPr>
        <w:pStyle w:val="TOC2"/>
        <w:tabs>
          <w:tab w:val="right" w:leader="dot" w:pos="9015"/>
        </w:tabs>
      </w:pPr>
      <w:r>
        <w:fldChar w:fldCharType="end"/>
      </w:r>
    </w:p>
    <w:p w14:paraId="21CE2838" w14:textId="1326D39B" w:rsidR="00D219DA" w:rsidRPr="00E13464" w:rsidRDefault="008F3943" w:rsidP="55805522">
      <w:pPr>
        <w:rPr>
          <w:rFonts w:cs="Arial"/>
          <w:b/>
          <w:bCs/>
          <w:noProof/>
        </w:rPr>
      </w:pPr>
      <w:r w:rsidRPr="55805522">
        <w:rPr>
          <w:rFonts w:cs="Arial"/>
          <w:sz w:val="28"/>
          <w:szCs w:val="28"/>
          <w:lang w:val="en-GB"/>
        </w:rPr>
        <w:fldChar w:fldCharType="begin"/>
      </w:r>
      <w:r w:rsidRPr="55805522">
        <w:rPr>
          <w:sz w:val="28"/>
          <w:szCs w:val="28"/>
          <w:lang w:val="en-GB"/>
        </w:rPr>
        <w:instrText xml:space="preserve"> XE "</w:instrText>
      </w:r>
      <w:r w:rsidRPr="55805522">
        <w:rPr>
          <w:rFonts w:cs="Arial"/>
          <w:noProof/>
          <w:sz w:val="28"/>
          <w:szCs w:val="28"/>
          <w:lang w:val="en-GB"/>
        </w:rPr>
        <w:instrText>External Examiners:</w:instrText>
      </w:r>
      <w:r w:rsidRPr="55805522">
        <w:rPr>
          <w:sz w:val="28"/>
          <w:szCs w:val="28"/>
          <w:lang w:val="en-GB"/>
        </w:rPr>
        <w:instrText xml:space="preserve">EE" </w:instrText>
      </w:r>
      <w:r w:rsidRPr="55805522">
        <w:rPr>
          <w:rFonts w:cs="Arial"/>
          <w:sz w:val="28"/>
          <w:szCs w:val="28"/>
          <w:lang w:val="en-GB"/>
        </w:rPr>
        <w:fldChar w:fldCharType="end"/>
      </w:r>
    </w:p>
    <w:p w14:paraId="7A57EE37" w14:textId="77777777" w:rsidR="002221E0" w:rsidRPr="00F70EA5" w:rsidRDefault="000F5A08" w:rsidP="008F3943">
      <w:pPr>
        <w:pStyle w:val="Heading2"/>
        <w:rPr>
          <w:lang w:val="en-GB"/>
        </w:rPr>
      </w:pPr>
      <w:bookmarkStart w:id="8" w:name="_Toc142413337"/>
      <w:r w:rsidRPr="55805522">
        <w:rPr>
          <w:lang w:val="en-GB"/>
        </w:rPr>
        <w:t xml:space="preserve">Role of the </w:t>
      </w:r>
      <w:r w:rsidR="00C173DF" w:rsidRPr="55805522">
        <w:rPr>
          <w:lang w:val="en-GB"/>
        </w:rPr>
        <w:t>Programme Assessment Board</w:t>
      </w:r>
      <w:r w:rsidRPr="55805522">
        <w:rPr>
          <w:lang w:val="en-GB"/>
        </w:rPr>
        <w:t xml:space="preserve"> </w:t>
      </w:r>
      <w:r w:rsidR="002524B3" w:rsidRPr="55805522">
        <w:rPr>
          <w:lang w:val="en-GB"/>
        </w:rPr>
        <w:t xml:space="preserve">External </w:t>
      </w:r>
      <w:r w:rsidRPr="55805522">
        <w:rPr>
          <w:lang w:val="en-GB"/>
        </w:rPr>
        <w:t>Examiner</w:t>
      </w:r>
      <w:bookmarkEnd w:id="8"/>
    </w:p>
    <w:p w14:paraId="2566E6A4" w14:textId="0B378E3F" w:rsidR="00087B85" w:rsidRPr="00F70EA5" w:rsidRDefault="002E7C6E" w:rsidP="008F3943">
      <w:pPr>
        <w:rPr>
          <w:lang w:val="en-GB"/>
        </w:rPr>
      </w:pPr>
      <w:r w:rsidRPr="00F70EA5">
        <w:rPr>
          <w:lang w:val="en-GB"/>
        </w:rPr>
        <w:t xml:space="preserve">The University appoints </w:t>
      </w:r>
      <w:r w:rsidR="00C173DF" w:rsidRPr="00F70EA5">
        <w:rPr>
          <w:lang w:val="en-GB"/>
        </w:rPr>
        <w:t>Programme</w:t>
      </w:r>
      <w:r w:rsidR="00621682" w:rsidRPr="00F70EA5">
        <w:rPr>
          <w:lang w:val="en-GB"/>
        </w:rPr>
        <w:t xml:space="preserve"> </w:t>
      </w:r>
      <w:r w:rsidR="00C173DF" w:rsidRPr="00F70EA5">
        <w:rPr>
          <w:lang w:val="en-GB"/>
        </w:rPr>
        <w:t>Assessment Board</w:t>
      </w:r>
      <w:r w:rsidR="004D220E" w:rsidRPr="00F70EA5">
        <w:rPr>
          <w:lang w:val="en-GB"/>
        </w:rPr>
        <w:t xml:space="preserve"> (PAB)</w:t>
      </w:r>
      <w:r w:rsidRPr="00F70EA5">
        <w:rPr>
          <w:lang w:val="en-GB"/>
        </w:rPr>
        <w:t xml:space="preserve"> </w:t>
      </w:r>
      <w:r w:rsidR="00856E0E" w:rsidRPr="00F70EA5">
        <w:rPr>
          <w:lang w:val="en-GB"/>
        </w:rPr>
        <w:t>external examiners</w:t>
      </w:r>
      <w:r w:rsidRPr="00F70EA5">
        <w:rPr>
          <w:lang w:val="en-GB"/>
        </w:rPr>
        <w:t xml:space="preserve"> to ensure that the board is conducted as per the University’s guidelines </w:t>
      </w:r>
      <w:r w:rsidR="00087B85" w:rsidRPr="00F70EA5">
        <w:rPr>
          <w:lang w:val="en-GB"/>
        </w:rPr>
        <w:t xml:space="preserve">on assessment board processes </w:t>
      </w:r>
      <w:r w:rsidRPr="00F70EA5">
        <w:rPr>
          <w:lang w:val="en-GB"/>
        </w:rPr>
        <w:t>and that there is equity of treatment to all students.</w:t>
      </w:r>
      <w:r w:rsidR="00481346">
        <w:rPr>
          <w:lang w:val="en-GB"/>
        </w:rPr>
        <w:t xml:space="preserve"> </w:t>
      </w:r>
      <w:r w:rsidR="00087B85" w:rsidRPr="2875BBF2">
        <w:rPr>
          <w:lang w:val="en-GB"/>
        </w:rPr>
        <w:t xml:space="preserve">The role requires the PAB external examiner to attend the board and contribute </w:t>
      </w:r>
      <w:r w:rsidR="00BB717B" w:rsidRPr="2875BBF2">
        <w:rPr>
          <w:lang w:val="en-GB"/>
        </w:rPr>
        <w:t xml:space="preserve">to </w:t>
      </w:r>
      <w:r w:rsidR="00087B85" w:rsidRPr="2875BBF2">
        <w:rPr>
          <w:lang w:val="en-GB"/>
        </w:rPr>
        <w:t>the decisions about progression</w:t>
      </w:r>
      <w:r w:rsidR="00B05191" w:rsidRPr="2875BBF2">
        <w:rPr>
          <w:lang w:val="en-GB"/>
        </w:rPr>
        <w:t xml:space="preserve">, </w:t>
      </w:r>
      <w:r w:rsidR="00087B85" w:rsidRPr="2875BBF2">
        <w:rPr>
          <w:lang w:val="en-GB"/>
        </w:rPr>
        <w:t>awards and exclusions</w:t>
      </w:r>
      <w:r w:rsidR="00B05191" w:rsidRPr="2875BBF2">
        <w:rPr>
          <w:lang w:val="en-GB"/>
        </w:rPr>
        <w:t>.</w:t>
      </w:r>
    </w:p>
    <w:p w14:paraId="25684527" w14:textId="77777777" w:rsidR="004F5F8A" w:rsidRPr="00F70EA5" w:rsidRDefault="00C173DF" w:rsidP="008F3943">
      <w:pPr>
        <w:pStyle w:val="Heading2"/>
        <w:rPr>
          <w:lang w:val="en-GB"/>
        </w:rPr>
      </w:pPr>
      <w:bookmarkStart w:id="9" w:name="_Toc142413338"/>
      <w:r w:rsidRPr="55805522">
        <w:rPr>
          <w:lang w:val="en-GB"/>
        </w:rPr>
        <w:t>Programme</w:t>
      </w:r>
      <w:r w:rsidR="00087B85" w:rsidRPr="55805522">
        <w:rPr>
          <w:lang w:val="en-GB"/>
        </w:rPr>
        <w:t xml:space="preserve"> </w:t>
      </w:r>
      <w:r w:rsidRPr="55805522">
        <w:rPr>
          <w:lang w:val="en-GB"/>
        </w:rPr>
        <w:t>Assessment Boards</w:t>
      </w:r>
      <w:bookmarkEnd w:id="9"/>
      <w:r w:rsidR="0021716C" w:rsidRPr="55805522">
        <w:rPr>
          <w:lang w:val="en-GB"/>
        </w:rPr>
        <w:t xml:space="preserve"> </w:t>
      </w:r>
    </w:p>
    <w:p w14:paraId="7DC15910" w14:textId="0BA7C9A9" w:rsidR="00F42712" w:rsidRPr="00F70EA5" w:rsidRDefault="00087B85" w:rsidP="008F3943">
      <w:pPr>
        <w:rPr>
          <w:lang w:val="en-GB"/>
        </w:rPr>
      </w:pPr>
      <w:r w:rsidRPr="00F70EA5">
        <w:rPr>
          <w:lang w:val="en-GB"/>
        </w:rPr>
        <w:t xml:space="preserve">The University has a single tier assessment board structure. The </w:t>
      </w:r>
      <w:r w:rsidR="00C173DF" w:rsidRPr="00F70EA5">
        <w:rPr>
          <w:lang w:val="en-GB"/>
        </w:rPr>
        <w:t xml:space="preserve">Programme Assessment Board </w:t>
      </w:r>
      <w:r w:rsidR="00B05191" w:rsidRPr="00F70EA5">
        <w:rPr>
          <w:lang w:val="en-GB"/>
        </w:rPr>
        <w:t>is responsible for recommending progression, awards and exclusions</w:t>
      </w:r>
      <w:r w:rsidR="00AA47D0" w:rsidRPr="00F70EA5">
        <w:rPr>
          <w:lang w:val="en-GB"/>
        </w:rPr>
        <w:t>. The board will</w:t>
      </w:r>
      <w:r w:rsidR="00B05191" w:rsidRPr="00F70EA5">
        <w:rPr>
          <w:lang w:val="en-GB"/>
        </w:rPr>
        <w:t xml:space="preserve"> </w:t>
      </w:r>
      <w:r w:rsidR="00AA47D0" w:rsidRPr="00F70EA5">
        <w:rPr>
          <w:lang w:val="en-GB"/>
        </w:rPr>
        <w:t>receive</w:t>
      </w:r>
      <w:r w:rsidRPr="00F70EA5">
        <w:rPr>
          <w:lang w:val="en-GB"/>
        </w:rPr>
        <w:t xml:space="preserve"> confirmation that all the sample student work (to which that PAB relates) has been internally moderated</w:t>
      </w:r>
      <w:r w:rsidR="00D3012A">
        <w:rPr>
          <w:lang w:val="en-GB"/>
        </w:rPr>
        <w:t xml:space="preserve"> prior to mark ratification</w:t>
      </w:r>
      <w:r w:rsidR="00D5702D">
        <w:rPr>
          <w:lang w:val="en-GB"/>
        </w:rPr>
        <w:t>.</w:t>
      </w:r>
      <w:r w:rsidRPr="00F70EA5">
        <w:rPr>
          <w:lang w:val="en-GB"/>
        </w:rPr>
        <w:t xml:space="preserve"> </w:t>
      </w:r>
      <w:r w:rsidR="002B1AEF" w:rsidRPr="00F70EA5">
        <w:rPr>
          <w:lang w:val="en-GB"/>
        </w:rPr>
        <w:t>Further details on PABs can be found in section 4 of the</w:t>
      </w:r>
      <w:r w:rsidR="004F5F8A" w:rsidRPr="00F70EA5">
        <w:rPr>
          <w:lang w:val="en-GB"/>
        </w:rPr>
        <w:t xml:space="preserve"> UG regulations</w:t>
      </w:r>
      <w:r w:rsidR="002B1AEF" w:rsidRPr="00F70EA5">
        <w:rPr>
          <w:lang w:val="en-GB"/>
        </w:rPr>
        <w:t xml:space="preserve"> </w:t>
      </w:r>
      <w:hyperlink r:id="rId12" w:history="1">
        <w:r w:rsidR="002B1AEF" w:rsidRPr="00F70EA5">
          <w:rPr>
            <w:rStyle w:val="Hyperlink"/>
            <w:color w:val="auto"/>
            <w:szCs w:val="24"/>
            <w:lang w:val="en-GB"/>
          </w:rPr>
          <w:t>here</w:t>
        </w:r>
      </w:hyperlink>
      <w:r w:rsidR="002B1AEF" w:rsidRPr="00F70EA5">
        <w:rPr>
          <w:lang w:val="en-GB"/>
        </w:rPr>
        <w:t xml:space="preserve">. </w:t>
      </w:r>
    </w:p>
    <w:p w14:paraId="2A2A4FAF" w14:textId="77777777" w:rsidR="00E443A5" w:rsidRPr="00F70EA5" w:rsidRDefault="00E443A5" w:rsidP="008F3943">
      <w:pPr>
        <w:rPr>
          <w:lang w:val="en-GB"/>
        </w:rPr>
      </w:pPr>
    </w:p>
    <w:p w14:paraId="6612F249" w14:textId="1CBEBC43" w:rsidR="00087B85" w:rsidRPr="00F70EA5" w:rsidRDefault="0010192D" w:rsidP="008F3943">
      <w:pPr>
        <w:rPr>
          <w:lang w:val="en-GB"/>
        </w:rPr>
      </w:pPr>
      <w:r w:rsidRPr="2875BBF2">
        <w:rPr>
          <w:lang w:val="en-GB"/>
        </w:rPr>
        <w:t xml:space="preserve">The University’s internal mark ratification process </w:t>
      </w:r>
      <w:r w:rsidR="00827E8E" w:rsidRPr="2875BBF2">
        <w:rPr>
          <w:lang w:val="en-GB"/>
        </w:rPr>
        <w:t>will ensure</w:t>
      </w:r>
      <w:r w:rsidR="00087B85" w:rsidRPr="2875BBF2">
        <w:rPr>
          <w:lang w:val="en-GB"/>
        </w:rPr>
        <w:t xml:space="preserve"> that all the sample student work has been internally moderated</w:t>
      </w:r>
      <w:r w:rsidR="008A3BC9">
        <w:rPr>
          <w:lang w:val="en-GB"/>
        </w:rPr>
        <w:t xml:space="preserve"> prior to the board</w:t>
      </w:r>
      <w:r w:rsidR="00087B85" w:rsidRPr="2875BBF2">
        <w:rPr>
          <w:lang w:val="en-GB"/>
        </w:rPr>
        <w:t>.</w:t>
      </w:r>
      <w:r w:rsidR="002E66E1">
        <w:rPr>
          <w:lang w:val="en-GB"/>
        </w:rPr>
        <w:t xml:space="preserve"> Subject external examiners</w:t>
      </w:r>
      <w:r w:rsidR="00515DC7">
        <w:rPr>
          <w:lang w:val="en-GB"/>
        </w:rPr>
        <w:t xml:space="preserve"> will</w:t>
      </w:r>
      <w:r w:rsidR="002E66E1">
        <w:rPr>
          <w:lang w:val="en-GB"/>
        </w:rPr>
        <w:t xml:space="preserve"> </w:t>
      </w:r>
      <w:r w:rsidR="00515DC7" w:rsidRPr="00515DC7">
        <w:rPr>
          <w:lang w:val="en-GB"/>
        </w:rPr>
        <w:t xml:space="preserve">audit marking and moderation post-PAB and submit their annual report with their findings and forward-looking recommendations once all the modules within their remit have been audited. </w:t>
      </w:r>
      <w:r w:rsidR="00087B85" w:rsidRPr="2875BBF2">
        <w:rPr>
          <w:lang w:val="en-GB"/>
        </w:rPr>
        <w:t xml:space="preserve">Clear processes are in place for dealing with </w:t>
      </w:r>
      <w:r w:rsidRPr="2875BBF2">
        <w:rPr>
          <w:lang w:val="en-GB"/>
        </w:rPr>
        <w:t>academic misconduct and</w:t>
      </w:r>
      <w:r w:rsidR="00BB717B" w:rsidRPr="2875BBF2">
        <w:rPr>
          <w:lang w:val="en-GB"/>
        </w:rPr>
        <w:t xml:space="preserve"> </w:t>
      </w:r>
      <w:r w:rsidR="00087B85" w:rsidRPr="2875BBF2">
        <w:rPr>
          <w:lang w:val="en-GB"/>
        </w:rPr>
        <w:t>mitigating circumstances, compensation etc. to e</w:t>
      </w:r>
      <w:r w:rsidRPr="2875BBF2">
        <w:rPr>
          <w:lang w:val="en-GB"/>
        </w:rPr>
        <w:t>n</w:t>
      </w:r>
      <w:r w:rsidR="00087B85" w:rsidRPr="2875BBF2">
        <w:rPr>
          <w:lang w:val="en-GB"/>
        </w:rPr>
        <w:t xml:space="preserve">sure that double counting does not take place; full details are provided in the </w:t>
      </w:r>
      <w:r w:rsidR="004D220E" w:rsidRPr="2875BBF2">
        <w:rPr>
          <w:lang w:val="en-GB"/>
        </w:rPr>
        <w:t xml:space="preserve">University’s academic policies and </w:t>
      </w:r>
      <w:r w:rsidR="00087B85" w:rsidRPr="2875BBF2">
        <w:rPr>
          <w:lang w:val="en-GB"/>
        </w:rPr>
        <w:t>regulations</w:t>
      </w:r>
      <w:r w:rsidR="004D220E" w:rsidRPr="2875BBF2">
        <w:rPr>
          <w:lang w:val="en-GB"/>
        </w:rPr>
        <w:t xml:space="preserve"> </w:t>
      </w:r>
      <w:hyperlink r:id="rId13" w:anchor="gr1">
        <w:r w:rsidR="004D220E" w:rsidRPr="2875BBF2">
          <w:rPr>
            <w:rStyle w:val="Hyperlink"/>
            <w:color w:val="auto"/>
            <w:lang w:val="en-GB"/>
          </w:rPr>
          <w:t>here</w:t>
        </w:r>
      </w:hyperlink>
      <w:r w:rsidR="00087B85" w:rsidRPr="2875BBF2">
        <w:rPr>
          <w:lang w:val="en-GB"/>
        </w:rPr>
        <w:t>.</w:t>
      </w:r>
      <w:r w:rsidR="00BB717B" w:rsidRPr="2875BBF2">
        <w:rPr>
          <w:lang w:val="en-GB"/>
        </w:rPr>
        <w:t xml:space="preserve"> </w:t>
      </w:r>
    </w:p>
    <w:p w14:paraId="0D3E6719" w14:textId="77777777" w:rsidR="00E443A5" w:rsidRPr="00F70EA5" w:rsidRDefault="00E443A5" w:rsidP="008F3943">
      <w:pPr>
        <w:rPr>
          <w:lang w:val="en-GB"/>
        </w:rPr>
      </w:pPr>
    </w:p>
    <w:p w14:paraId="0A14CADB" w14:textId="18FA8EB2" w:rsidR="0046369F" w:rsidRPr="00F70EA5" w:rsidRDefault="000F5A08" w:rsidP="008F3943">
      <w:pPr>
        <w:rPr>
          <w:lang w:val="en-GB"/>
        </w:rPr>
      </w:pPr>
      <w:r w:rsidRPr="2875BBF2">
        <w:rPr>
          <w:lang w:val="en-GB"/>
        </w:rPr>
        <w:t>PAB e</w:t>
      </w:r>
      <w:r w:rsidR="0046369F" w:rsidRPr="2875BBF2">
        <w:rPr>
          <w:lang w:val="en-GB"/>
        </w:rPr>
        <w:t>xternal examiners are full members of the assessmen</w:t>
      </w:r>
      <w:r w:rsidR="00B05191" w:rsidRPr="2875BBF2">
        <w:rPr>
          <w:lang w:val="en-GB"/>
        </w:rPr>
        <w:t xml:space="preserve">t boards to which they relate. The PAB is </w:t>
      </w:r>
      <w:r w:rsidR="0046369F" w:rsidRPr="2875BBF2">
        <w:rPr>
          <w:lang w:val="en-GB"/>
        </w:rPr>
        <w:t xml:space="preserve">deemed quorate if all designated internal </w:t>
      </w:r>
      <w:r w:rsidR="00B05191" w:rsidRPr="2875BBF2">
        <w:rPr>
          <w:lang w:val="en-GB"/>
        </w:rPr>
        <w:t>members</w:t>
      </w:r>
      <w:r w:rsidR="0010192D" w:rsidRPr="2875BBF2">
        <w:rPr>
          <w:lang w:val="en-GB"/>
        </w:rPr>
        <w:t xml:space="preserve"> or their nominees</w:t>
      </w:r>
      <w:r w:rsidR="00B05191" w:rsidRPr="2875BBF2">
        <w:rPr>
          <w:lang w:val="en-GB"/>
        </w:rPr>
        <w:t xml:space="preserve"> </w:t>
      </w:r>
      <w:r w:rsidR="0046369F" w:rsidRPr="2875BBF2">
        <w:rPr>
          <w:lang w:val="en-GB"/>
        </w:rPr>
        <w:t xml:space="preserve">and </w:t>
      </w:r>
      <w:r w:rsidR="00B05191" w:rsidRPr="2875BBF2">
        <w:rPr>
          <w:lang w:val="en-GB"/>
        </w:rPr>
        <w:t xml:space="preserve">at least </w:t>
      </w:r>
      <w:r w:rsidRPr="2875BBF2">
        <w:rPr>
          <w:lang w:val="en-GB"/>
        </w:rPr>
        <w:t xml:space="preserve">one </w:t>
      </w:r>
      <w:r w:rsidR="00B05191" w:rsidRPr="2875BBF2">
        <w:rPr>
          <w:lang w:val="en-GB"/>
        </w:rPr>
        <w:t xml:space="preserve">PAB </w:t>
      </w:r>
      <w:r w:rsidRPr="2875BBF2">
        <w:rPr>
          <w:lang w:val="en-GB"/>
        </w:rPr>
        <w:t>external examiner</w:t>
      </w:r>
      <w:r w:rsidR="00B05191" w:rsidRPr="2875BBF2">
        <w:rPr>
          <w:lang w:val="en-GB"/>
        </w:rPr>
        <w:t xml:space="preserve"> is </w:t>
      </w:r>
      <w:r w:rsidR="0046369F" w:rsidRPr="2875BBF2">
        <w:rPr>
          <w:lang w:val="en-GB"/>
        </w:rPr>
        <w:t xml:space="preserve">present. </w:t>
      </w:r>
      <w:r w:rsidR="0010192D" w:rsidRPr="2875BBF2">
        <w:rPr>
          <w:lang w:val="en-GB"/>
        </w:rPr>
        <w:t xml:space="preserve">An Independent Monitor (IM) will also </w:t>
      </w:r>
      <w:proofErr w:type="gramStart"/>
      <w:r w:rsidR="0010192D" w:rsidRPr="2875BBF2">
        <w:rPr>
          <w:lang w:val="en-GB"/>
        </w:rPr>
        <w:t>be in attendance at</w:t>
      </w:r>
      <w:proofErr w:type="gramEnd"/>
      <w:r w:rsidR="0010192D" w:rsidRPr="2875BBF2">
        <w:rPr>
          <w:lang w:val="en-GB"/>
        </w:rPr>
        <w:t xml:space="preserve"> each PAB to provide advice and guidance </w:t>
      </w:r>
      <w:r w:rsidR="0010192D" w:rsidRPr="2875BBF2">
        <w:rPr>
          <w:lang w:val="en-GB"/>
        </w:rPr>
        <w:lastRenderedPageBreak/>
        <w:t xml:space="preserve">on the application of the </w:t>
      </w:r>
      <w:r w:rsidR="004D220E" w:rsidRPr="2875BBF2">
        <w:rPr>
          <w:lang w:val="en-GB"/>
        </w:rPr>
        <w:t>UG/PG</w:t>
      </w:r>
      <w:r w:rsidR="0010192D" w:rsidRPr="2875BBF2">
        <w:rPr>
          <w:lang w:val="en-GB"/>
        </w:rPr>
        <w:t xml:space="preserve"> regulations for the student profiles under consideration and to ensure the board operates</w:t>
      </w:r>
      <w:r w:rsidR="004D220E" w:rsidRPr="2875BBF2">
        <w:rPr>
          <w:lang w:val="en-GB"/>
        </w:rPr>
        <w:t xml:space="preserve"> in line with the University’s assessment board regulations.</w:t>
      </w:r>
    </w:p>
    <w:p w14:paraId="3578358F" w14:textId="77777777" w:rsidR="001E58D9" w:rsidRPr="00F70EA5" w:rsidRDefault="001E58D9" w:rsidP="008F3943">
      <w:pPr>
        <w:rPr>
          <w:lang w:val="en-GB"/>
        </w:rPr>
      </w:pPr>
    </w:p>
    <w:p w14:paraId="0A64B4F9" w14:textId="181A4ED4" w:rsidR="004D220E" w:rsidRPr="00F70EA5" w:rsidRDefault="0046369F" w:rsidP="008F3943">
      <w:pPr>
        <w:rPr>
          <w:lang w:val="en-GB"/>
        </w:rPr>
      </w:pPr>
      <w:r w:rsidRPr="2875BBF2">
        <w:rPr>
          <w:lang w:val="en-GB"/>
        </w:rPr>
        <w:t xml:space="preserve">All formal decisions relating to awards and progression must be made at </w:t>
      </w:r>
      <w:r w:rsidR="000F5A08" w:rsidRPr="2875BBF2">
        <w:rPr>
          <w:lang w:val="en-GB"/>
        </w:rPr>
        <w:t>the PAB</w:t>
      </w:r>
      <w:r w:rsidRPr="2875BBF2">
        <w:rPr>
          <w:lang w:val="en-GB"/>
        </w:rPr>
        <w:t xml:space="preserve">.  All information necessary to reach decisions must be available at </w:t>
      </w:r>
      <w:r w:rsidR="008709CC" w:rsidRPr="2875BBF2">
        <w:rPr>
          <w:lang w:val="en-GB"/>
        </w:rPr>
        <w:t xml:space="preserve">the PAB </w:t>
      </w:r>
      <w:r w:rsidRPr="2875BBF2">
        <w:rPr>
          <w:lang w:val="en-GB"/>
        </w:rPr>
        <w:t>and full minutes must record such evidence and the resulting judgements.</w:t>
      </w:r>
    </w:p>
    <w:p w14:paraId="06050604" w14:textId="77777777" w:rsidR="004D220E" w:rsidRPr="00F70EA5" w:rsidRDefault="0046369F" w:rsidP="008F3943">
      <w:pPr>
        <w:pStyle w:val="Heading2"/>
        <w:rPr>
          <w:lang w:val="en-GB"/>
        </w:rPr>
      </w:pPr>
      <w:bookmarkStart w:id="10" w:name="_Toc142413339"/>
      <w:r w:rsidRPr="55805522">
        <w:rPr>
          <w:lang w:val="en-GB"/>
        </w:rPr>
        <w:t xml:space="preserve">Verification of the </w:t>
      </w:r>
      <w:r w:rsidR="002524B3" w:rsidRPr="55805522">
        <w:rPr>
          <w:lang w:val="en-GB"/>
        </w:rPr>
        <w:t>R</w:t>
      </w:r>
      <w:r w:rsidRPr="55805522">
        <w:rPr>
          <w:lang w:val="en-GB"/>
        </w:rPr>
        <w:t xml:space="preserve">ecommendations of </w:t>
      </w:r>
      <w:r w:rsidR="00C173DF" w:rsidRPr="55805522">
        <w:rPr>
          <w:lang w:val="en-GB"/>
        </w:rPr>
        <w:t>Programme</w:t>
      </w:r>
      <w:r w:rsidR="00906698" w:rsidRPr="55805522">
        <w:rPr>
          <w:lang w:val="en-GB"/>
        </w:rPr>
        <w:t xml:space="preserve"> </w:t>
      </w:r>
      <w:r w:rsidR="00C173DF" w:rsidRPr="55805522">
        <w:rPr>
          <w:lang w:val="en-GB"/>
        </w:rPr>
        <w:t>Assessment Board</w:t>
      </w:r>
      <w:bookmarkEnd w:id="10"/>
    </w:p>
    <w:p w14:paraId="75A94FD5" w14:textId="6C90B9D3" w:rsidR="00A01230" w:rsidRPr="00F70EA5" w:rsidRDefault="0046369F" w:rsidP="00924456">
      <w:pPr>
        <w:rPr>
          <w:lang w:val="en-GB"/>
        </w:rPr>
      </w:pPr>
      <w:r w:rsidRPr="2875BBF2">
        <w:rPr>
          <w:lang w:val="en-GB"/>
        </w:rPr>
        <w:t xml:space="preserve">The agreed final recommendations of an assessment board are the collective, consensus views of the board members, including the </w:t>
      </w:r>
      <w:r w:rsidR="00B05191" w:rsidRPr="2875BBF2">
        <w:rPr>
          <w:lang w:val="en-GB"/>
        </w:rPr>
        <w:t xml:space="preserve">PAB </w:t>
      </w:r>
      <w:r w:rsidRPr="2875BBF2">
        <w:rPr>
          <w:lang w:val="en-GB"/>
        </w:rPr>
        <w:t>external</w:t>
      </w:r>
      <w:r w:rsidR="004236E0" w:rsidRPr="2875BBF2">
        <w:rPr>
          <w:lang w:val="en-GB"/>
        </w:rPr>
        <w:t xml:space="preserve"> examiner</w:t>
      </w:r>
      <w:r w:rsidRPr="2875BBF2">
        <w:rPr>
          <w:lang w:val="en-GB"/>
        </w:rPr>
        <w:t>. It is expected that the chair of the board will review all recommendations with the board to ensure that they are approved by the board and can be accurately recorded by the minuting secretary. The University does not additionally require the formality of the signatur</w:t>
      </w:r>
      <w:r w:rsidR="004236E0" w:rsidRPr="2875BBF2">
        <w:rPr>
          <w:lang w:val="en-GB"/>
        </w:rPr>
        <w:t xml:space="preserve">e of the </w:t>
      </w:r>
      <w:r w:rsidR="00AA47D0" w:rsidRPr="2875BBF2">
        <w:rPr>
          <w:lang w:val="en-GB"/>
        </w:rPr>
        <w:t xml:space="preserve">PAB </w:t>
      </w:r>
      <w:r w:rsidR="004236E0" w:rsidRPr="2875BBF2">
        <w:rPr>
          <w:lang w:val="en-GB"/>
        </w:rPr>
        <w:t>external examiner</w:t>
      </w:r>
      <w:r w:rsidRPr="2875BBF2">
        <w:rPr>
          <w:lang w:val="en-GB"/>
        </w:rPr>
        <w:t xml:space="preserve"> at this stage. It is subsequently the responsibility of the chair of the board and the secretary to the board to ensure that published results </w:t>
      </w:r>
      <w:r w:rsidR="0009690C" w:rsidRPr="2875BBF2">
        <w:rPr>
          <w:lang w:val="en-GB"/>
        </w:rPr>
        <w:t>list</w:t>
      </w:r>
      <w:r w:rsidRPr="2875BBF2">
        <w:rPr>
          <w:lang w:val="en-GB"/>
        </w:rPr>
        <w:t xml:space="preserve"> accurately reflect the assessment board’s deliberations. By receipt of minutes, including a full record of recommendations, </w:t>
      </w:r>
      <w:r w:rsidR="00AA47D0" w:rsidRPr="2875BBF2">
        <w:rPr>
          <w:lang w:val="en-GB"/>
        </w:rPr>
        <w:t xml:space="preserve">PAB </w:t>
      </w:r>
      <w:r w:rsidRPr="2875BBF2">
        <w:rPr>
          <w:lang w:val="en-GB"/>
        </w:rPr>
        <w:t xml:space="preserve">external examiners are </w:t>
      </w:r>
      <w:proofErr w:type="gramStart"/>
      <w:r w:rsidRPr="2875BBF2">
        <w:rPr>
          <w:lang w:val="en-GB"/>
        </w:rPr>
        <w:t>in a position</w:t>
      </w:r>
      <w:proofErr w:type="gramEnd"/>
      <w:r w:rsidRPr="2875BBF2">
        <w:rPr>
          <w:lang w:val="en-GB"/>
        </w:rPr>
        <w:t xml:space="preserve"> to audit the accuracy of the procedures and, if it ever became necessary, to audit any aspect of the process in more detail. </w:t>
      </w:r>
    </w:p>
    <w:p w14:paraId="30B11CAB" w14:textId="2163F1DC" w:rsidR="004D220E" w:rsidRPr="00F70EA5" w:rsidRDefault="00411243" w:rsidP="008F3943">
      <w:pPr>
        <w:pStyle w:val="Heading2"/>
        <w:rPr>
          <w:lang w:val="en-GB"/>
        </w:rPr>
      </w:pPr>
      <w:bookmarkStart w:id="11" w:name="_Toc142413340"/>
      <w:r w:rsidRPr="55805522">
        <w:rPr>
          <w:lang w:val="en-GB"/>
        </w:rPr>
        <w:t xml:space="preserve">External </w:t>
      </w:r>
      <w:r w:rsidR="00521064">
        <w:rPr>
          <w:lang w:val="en-GB"/>
        </w:rPr>
        <w:t>E</w:t>
      </w:r>
      <w:r w:rsidRPr="55805522">
        <w:rPr>
          <w:lang w:val="en-GB"/>
        </w:rPr>
        <w:t>xaminer</w:t>
      </w:r>
      <w:r w:rsidR="0046369F" w:rsidRPr="55805522">
        <w:rPr>
          <w:lang w:val="en-GB"/>
        </w:rPr>
        <w:t>s</w:t>
      </w:r>
      <w:r w:rsidRPr="55805522">
        <w:rPr>
          <w:lang w:val="en-GB"/>
        </w:rPr>
        <w:t>’</w:t>
      </w:r>
      <w:r w:rsidR="0046369F" w:rsidRPr="55805522">
        <w:rPr>
          <w:lang w:val="en-GB"/>
        </w:rPr>
        <w:t xml:space="preserve"> </w:t>
      </w:r>
      <w:r w:rsidR="002524B3" w:rsidRPr="55805522">
        <w:rPr>
          <w:lang w:val="en-GB"/>
        </w:rPr>
        <w:t>A</w:t>
      </w:r>
      <w:r w:rsidR="006B2FF7" w:rsidRPr="55805522">
        <w:rPr>
          <w:lang w:val="en-GB"/>
        </w:rPr>
        <w:t xml:space="preserve">nnual </w:t>
      </w:r>
      <w:r w:rsidR="002524B3" w:rsidRPr="55805522">
        <w:rPr>
          <w:lang w:val="en-GB"/>
        </w:rPr>
        <w:t>R</w:t>
      </w:r>
      <w:r w:rsidR="0046369F" w:rsidRPr="55805522">
        <w:rPr>
          <w:lang w:val="en-GB"/>
        </w:rPr>
        <w:t>eports</w:t>
      </w:r>
      <w:bookmarkEnd w:id="11"/>
    </w:p>
    <w:p w14:paraId="5013D0C7" w14:textId="361B897E" w:rsidR="0046369F" w:rsidRPr="00F70EA5" w:rsidRDefault="0046369F" w:rsidP="008F3943">
      <w:pPr>
        <w:rPr>
          <w:lang w:val="en-GB"/>
        </w:rPr>
      </w:pPr>
      <w:r w:rsidRPr="00F70EA5">
        <w:rPr>
          <w:lang w:val="en-GB"/>
        </w:rPr>
        <w:t xml:space="preserve">All </w:t>
      </w:r>
      <w:r w:rsidR="00AA47D0" w:rsidRPr="00F70EA5">
        <w:rPr>
          <w:lang w:val="en-GB"/>
        </w:rPr>
        <w:t xml:space="preserve">PAB </w:t>
      </w:r>
      <w:r w:rsidRPr="00F70EA5">
        <w:rPr>
          <w:lang w:val="en-GB"/>
        </w:rPr>
        <w:t>external examiners, as part of their contract with the Unive</w:t>
      </w:r>
      <w:r w:rsidR="00AA47D0" w:rsidRPr="00F70EA5">
        <w:rPr>
          <w:lang w:val="en-GB"/>
        </w:rPr>
        <w:t>rsity, are required to submit</w:t>
      </w:r>
      <w:r w:rsidR="006B2FF7" w:rsidRPr="00F70EA5">
        <w:rPr>
          <w:lang w:val="en-GB"/>
        </w:rPr>
        <w:t xml:space="preserve"> an annual report</w:t>
      </w:r>
      <w:r w:rsidRPr="00F70EA5">
        <w:rPr>
          <w:lang w:val="en-GB"/>
        </w:rPr>
        <w:t xml:space="preserve">. The University has adopted a standard report format which must be completed on-line. In addition to responses to key questions </w:t>
      </w:r>
      <w:r w:rsidR="00C57F19" w:rsidRPr="00F70EA5">
        <w:rPr>
          <w:lang w:val="en-GB"/>
        </w:rPr>
        <w:t xml:space="preserve">about </w:t>
      </w:r>
      <w:r w:rsidR="00C57F19">
        <w:rPr>
          <w:lang w:val="en-GB"/>
        </w:rPr>
        <w:t>assessment</w:t>
      </w:r>
      <w:r w:rsidR="00D26E54">
        <w:rPr>
          <w:lang w:val="en-GB"/>
        </w:rPr>
        <w:t xml:space="preserve"> board </w:t>
      </w:r>
      <w:r w:rsidRPr="00F70EA5">
        <w:rPr>
          <w:lang w:val="en-GB"/>
        </w:rPr>
        <w:t>processes and procedures, external examiners</w:t>
      </w:r>
      <w:r w:rsidR="00AA47D0" w:rsidRPr="00F70EA5">
        <w:rPr>
          <w:lang w:val="en-GB"/>
        </w:rPr>
        <w:t xml:space="preserve"> are </w:t>
      </w:r>
      <w:r w:rsidRPr="00F70EA5">
        <w:rPr>
          <w:lang w:val="en-GB"/>
        </w:rPr>
        <w:t>also asked to detail any areas of good practice and/or recommendations for enhancement</w:t>
      </w:r>
      <w:r w:rsidR="00BB7480" w:rsidRPr="00F70EA5">
        <w:rPr>
          <w:lang w:val="en-GB"/>
        </w:rPr>
        <w:t>.</w:t>
      </w:r>
    </w:p>
    <w:p w14:paraId="75277E5C" w14:textId="77777777" w:rsidR="00D26E54" w:rsidRDefault="00D26E54" w:rsidP="008F3943">
      <w:pPr>
        <w:rPr>
          <w:lang w:val="en-GB"/>
        </w:rPr>
      </w:pPr>
    </w:p>
    <w:p w14:paraId="61A12D15" w14:textId="2F6459E9" w:rsidR="004D220E" w:rsidRPr="00F70EA5" w:rsidRDefault="0046369F" w:rsidP="00A901A8">
      <w:pPr>
        <w:rPr>
          <w:lang w:val="en-GB"/>
        </w:rPr>
      </w:pPr>
      <w:r w:rsidRPr="2875BBF2">
        <w:rPr>
          <w:lang w:val="en-GB"/>
        </w:rPr>
        <w:t xml:space="preserve">The University regards the external examiner’s </w:t>
      </w:r>
      <w:r w:rsidR="006B2FF7" w:rsidRPr="2875BBF2">
        <w:rPr>
          <w:lang w:val="en-GB"/>
        </w:rPr>
        <w:t xml:space="preserve">annual </w:t>
      </w:r>
      <w:r w:rsidRPr="2875BBF2">
        <w:rPr>
          <w:lang w:val="en-GB"/>
        </w:rPr>
        <w:t>report as a critical part of its quality assurance procedures. It is part of the contract with external examiners that the required report is produced</w:t>
      </w:r>
      <w:r w:rsidR="006B2FF7" w:rsidRPr="2875BBF2">
        <w:rPr>
          <w:lang w:val="en-GB"/>
        </w:rPr>
        <w:t xml:space="preserve"> annually. </w:t>
      </w:r>
      <w:r w:rsidRPr="2875BBF2">
        <w:rPr>
          <w:lang w:val="en-GB"/>
        </w:rPr>
        <w:t>If an external examiner, following a reminder, does not submit a report</w:t>
      </w:r>
      <w:r w:rsidR="00AA47D0" w:rsidRPr="2875BBF2">
        <w:rPr>
          <w:lang w:val="en-GB"/>
        </w:rPr>
        <w:t xml:space="preserve"> within one month of the</w:t>
      </w:r>
      <w:r w:rsidR="006B2FF7" w:rsidRPr="2875BBF2">
        <w:rPr>
          <w:lang w:val="en-GB"/>
        </w:rPr>
        <w:t xml:space="preserve"> last</w:t>
      </w:r>
      <w:r w:rsidR="00AA47D0" w:rsidRPr="2875BBF2">
        <w:rPr>
          <w:lang w:val="en-GB"/>
        </w:rPr>
        <w:t xml:space="preserve"> </w:t>
      </w:r>
      <w:r w:rsidR="006B2FF7" w:rsidRPr="2875BBF2">
        <w:rPr>
          <w:lang w:val="en-GB"/>
        </w:rPr>
        <w:t>PAB of the academic year that they attended</w:t>
      </w:r>
      <w:r w:rsidRPr="2875BBF2">
        <w:rPr>
          <w:lang w:val="en-GB"/>
        </w:rPr>
        <w:t xml:space="preserve">, or the report </w:t>
      </w:r>
      <w:proofErr w:type="gramStart"/>
      <w:r w:rsidRPr="2875BBF2">
        <w:rPr>
          <w:lang w:val="en-GB"/>
        </w:rPr>
        <w:t>is considered to be</w:t>
      </w:r>
      <w:proofErr w:type="gramEnd"/>
      <w:r w:rsidRPr="2875BBF2">
        <w:rPr>
          <w:lang w:val="en-GB"/>
        </w:rPr>
        <w:t xml:space="preserve"> too cursory to be of value and requests for amplification are not responded to, the contract may be terminated forthwith. The report will be regarded as a public document within the University and </w:t>
      </w:r>
      <w:r w:rsidR="00AA47D0" w:rsidRPr="2875BBF2">
        <w:rPr>
          <w:lang w:val="en-GB"/>
        </w:rPr>
        <w:t xml:space="preserve">will </w:t>
      </w:r>
      <w:r w:rsidRPr="2875BBF2">
        <w:rPr>
          <w:lang w:val="en-GB"/>
        </w:rPr>
        <w:t>form part of the documentation for</w:t>
      </w:r>
      <w:r w:rsidR="00AA47D0" w:rsidRPr="2875BBF2">
        <w:rPr>
          <w:lang w:val="en-GB"/>
        </w:rPr>
        <w:t xml:space="preserve"> the Regulatory Framework Committee</w:t>
      </w:r>
      <w:r w:rsidRPr="2875BBF2">
        <w:rPr>
          <w:lang w:val="en-GB"/>
        </w:rPr>
        <w:t>. If necessary, external examiners can submit a separate confidential letter to the Vice-Chancellor (VC).</w:t>
      </w:r>
      <w:r w:rsidR="00CF11B1" w:rsidRPr="2875BBF2">
        <w:rPr>
          <w:lang w:val="en-GB"/>
        </w:rPr>
        <w:t xml:space="preserve"> The confidential letter should be subm</w:t>
      </w:r>
      <w:r w:rsidR="00AA47D0" w:rsidRPr="2875BBF2">
        <w:rPr>
          <w:lang w:val="en-GB"/>
        </w:rPr>
        <w:t xml:space="preserve">itted in addition to the PAB </w:t>
      </w:r>
      <w:proofErr w:type="gramStart"/>
      <w:r w:rsidR="00CF11B1" w:rsidRPr="2875BBF2">
        <w:rPr>
          <w:lang w:val="en-GB"/>
        </w:rPr>
        <w:t>report</w:t>
      </w:r>
      <w:proofErr w:type="gramEnd"/>
      <w:r w:rsidR="00CF11B1" w:rsidRPr="2875BBF2">
        <w:rPr>
          <w:lang w:val="en-GB"/>
        </w:rPr>
        <w:t xml:space="preserve"> but the latter can refer to the fact that a confidential letter is also being sent without disclosing the details. An acknowledgement letter will be sent to the examiner from the VC within one week of receipt of the letter. The examiner will receive a formal response, following a detailed investigation into the matter, within four weeks of receipt of the letter.</w:t>
      </w:r>
    </w:p>
    <w:p w14:paraId="20BEAE0F" w14:textId="77777777" w:rsidR="006B2FF7" w:rsidRPr="00F70EA5" w:rsidRDefault="0046369F" w:rsidP="008F3943">
      <w:pPr>
        <w:pStyle w:val="Heading2"/>
        <w:rPr>
          <w:lang w:val="en-GB"/>
        </w:rPr>
      </w:pPr>
      <w:bookmarkStart w:id="12" w:name="_Toc142413341"/>
      <w:r w:rsidRPr="55805522">
        <w:rPr>
          <w:lang w:val="en-GB"/>
        </w:rPr>
        <w:t xml:space="preserve">Feedback to </w:t>
      </w:r>
      <w:r w:rsidR="002524B3" w:rsidRPr="55805522">
        <w:rPr>
          <w:lang w:val="en-GB"/>
        </w:rPr>
        <w:t>E</w:t>
      </w:r>
      <w:r w:rsidRPr="55805522">
        <w:rPr>
          <w:lang w:val="en-GB"/>
        </w:rPr>
        <w:t xml:space="preserve">xternal </w:t>
      </w:r>
      <w:r w:rsidR="002524B3" w:rsidRPr="55805522">
        <w:rPr>
          <w:lang w:val="en-GB"/>
        </w:rPr>
        <w:t>E</w:t>
      </w:r>
      <w:r w:rsidRPr="55805522">
        <w:rPr>
          <w:lang w:val="en-GB"/>
        </w:rPr>
        <w:t>xaminers</w:t>
      </w:r>
      <w:bookmarkEnd w:id="12"/>
    </w:p>
    <w:p w14:paraId="4277A892" w14:textId="1D80B2BF" w:rsidR="00DD11A9" w:rsidRPr="00F70EA5" w:rsidRDefault="0046369F" w:rsidP="008F3943">
      <w:pPr>
        <w:rPr>
          <w:lang w:val="en-GB"/>
        </w:rPr>
      </w:pPr>
      <w:r w:rsidRPr="00F70EA5">
        <w:rPr>
          <w:lang w:val="en-GB"/>
        </w:rPr>
        <w:t xml:space="preserve">The University requires that external examiners should be provided with feedback following discussion of their </w:t>
      </w:r>
      <w:r w:rsidR="00AA47D0" w:rsidRPr="00F70EA5">
        <w:rPr>
          <w:lang w:val="en-GB"/>
        </w:rPr>
        <w:t xml:space="preserve">report by the </w:t>
      </w:r>
      <w:r w:rsidR="00A30F59">
        <w:rPr>
          <w:lang w:val="en-GB"/>
        </w:rPr>
        <w:t xml:space="preserve">Quality Assurance &amp; Enhancement and </w:t>
      </w:r>
      <w:r w:rsidR="00A30F59">
        <w:rPr>
          <w:lang w:val="en-GB"/>
        </w:rPr>
        <w:lastRenderedPageBreak/>
        <w:t xml:space="preserve">Regulations, Assessment and Student Casework teams. </w:t>
      </w:r>
      <w:r w:rsidRPr="00F70EA5">
        <w:rPr>
          <w:lang w:val="en-GB"/>
        </w:rPr>
        <w:fldChar w:fldCharType="begin"/>
      </w:r>
      <w:r w:rsidRPr="00F70EA5">
        <w:rPr>
          <w:lang w:val="en-GB"/>
        </w:rPr>
        <w:instrText xml:space="preserve"> XE "Boards of Study" </w:instrText>
      </w:r>
      <w:r w:rsidRPr="00F70EA5">
        <w:rPr>
          <w:lang w:val="en-GB"/>
        </w:rPr>
        <w:fldChar w:fldCharType="end"/>
      </w:r>
      <w:r w:rsidRPr="00F70EA5">
        <w:rPr>
          <w:lang w:val="en-GB"/>
        </w:rPr>
        <w:t xml:space="preserve">This feedback should consist of an itemised response to the report using the University’s response template.  </w:t>
      </w:r>
    </w:p>
    <w:p w14:paraId="1FD95F05" w14:textId="77777777" w:rsidR="006B2FF7" w:rsidRPr="00F70EA5" w:rsidRDefault="0046369F" w:rsidP="008F3943">
      <w:pPr>
        <w:pStyle w:val="Heading2"/>
        <w:rPr>
          <w:lang w:val="en-GB"/>
        </w:rPr>
      </w:pPr>
      <w:bookmarkStart w:id="13" w:name="_Toc142413342"/>
      <w:r w:rsidRPr="55805522">
        <w:rPr>
          <w:lang w:val="en-GB"/>
        </w:rPr>
        <w:t>Data protection, freedom of information and copyright</w:t>
      </w:r>
      <w:bookmarkEnd w:id="13"/>
    </w:p>
    <w:p w14:paraId="49F25EB5" w14:textId="3ECF133F" w:rsidR="0046369F" w:rsidRPr="00F70EA5" w:rsidRDefault="0046369F" w:rsidP="008F3943">
      <w:pPr>
        <w:rPr>
          <w:lang w:val="en-GB"/>
        </w:rPr>
      </w:pPr>
      <w:r w:rsidRPr="00F70EA5">
        <w:rPr>
          <w:lang w:val="en-GB"/>
        </w:rPr>
        <w:t>The University will use personal data submitted by the external examiner for the payment of fees and expenses, and for other necessary communication in connection with the external examiner’s contract. Where required for these purposes, this data will be shared with other departments of the University.</w:t>
      </w:r>
    </w:p>
    <w:p w14:paraId="12786762" w14:textId="77777777" w:rsidR="00336F43" w:rsidRPr="00F70EA5" w:rsidRDefault="00336F43" w:rsidP="008F3943">
      <w:pPr>
        <w:rPr>
          <w:lang w:val="en-GB"/>
        </w:rPr>
      </w:pPr>
    </w:p>
    <w:p w14:paraId="5006A841" w14:textId="0757160D" w:rsidR="0046369F" w:rsidRPr="00F70EA5" w:rsidRDefault="0046369F" w:rsidP="008F3943">
      <w:pPr>
        <w:rPr>
          <w:lang w:val="en-GB"/>
        </w:rPr>
      </w:pPr>
      <w:r w:rsidRPr="00F70EA5">
        <w:rPr>
          <w:lang w:val="en-GB"/>
        </w:rPr>
        <w:t xml:space="preserve">In accordance with the University’s Data Protection </w:t>
      </w:r>
      <w:r w:rsidR="00E451D6" w:rsidRPr="00F70EA5">
        <w:rPr>
          <w:lang w:val="en-GB"/>
        </w:rPr>
        <w:t>Policy,</w:t>
      </w:r>
      <w:r w:rsidRPr="00F70EA5">
        <w:rPr>
          <w:lang w:val="en-GB"/>
        </w:rPr>
        <w:t xml:space="preserve"> which is based upon the Data Prote</w:t>
      </w:r>
      <w:r w:rsidR="003F21BB" w:rsidRPr="00F70EA5">
        <w:rPr>
          <w:lang w:val="en-GB"/>
        </w:rPr>
        <w:t>ction Act 2018</w:t>
      </w:r>
      <w:r w:rsidRPr="00F70EA5">
        <w:rPr>
          <w:lang w:val="en-GB"/>
        </w:rPr>
        <w:t>, staff members must not disclose external examiners’ personal data, including contact details, to any person or body outside the University without the consent of the external examiner.</w:t>
      </w:r>
    </w:p>
    <w:p w14:paraId="5A975986" w14:textId="77777777" w:rsidR="003D7FDE" w:rsidRPr="00F70EA5" w:rsidRDefault="003D7FDE" w:rsidP="008F3943">
      <w:pPr>
        <w:rPr>
          <w:lang w:val="en-GB"/>
        </w:rPr>
      </w:pPr>
    </w:p>
    <w:p w14:paraId="2A00F18D" w14:textId="77777777" w:rsidR="0046369F" w:rsidRPr="00F70EA5" w:rsidRDefault="0046369F" w:rsidP="008F3943">
      <w:pPr>
        <w:rPr>
          <w:lang w:val="en-GB"/>
        </w:rPr>
      </w:pPr>
      <w:r w:rsidRPr="00F70EA5">
        <w:rPr>
          <w:lang w:val="en-GB"/>
        </w:rPr>
        <w:t xml:space="preserve">An external examiner’s report will be made available to </w:t>
      </w:r>
      <w:proofErr w:type="gramStart"/>
      <w:r w:rsidRPr="00F70EA5">
        <w:rPr>
          <w:lang w:val="en-GB"/>
        </w:rPr>
        <w:t>University</w:t>
      </w:r>
      <w:proofErr w:type="gramEnd"/>
      <w:r w:rsidRPr="00F70EA5">
        <w:rPr>
          <w:lang w:val="en-GB"/>
        </w:rPr>
        <w:t xml:space="preserve"> staff, students and/or collaborative programme partners as part of the quality assurance/annual monitoring procedure. External examiners’ reports may be circulated as part of an internal or external audit.  </w:t>
      </w:r>
    </w:p>
    <w:p w14:paraId="1E6531F2" w14:textId="77777777" w:rsidR="003D7FDE" w:rsidRPr="00F70EA5" w:rsidRDefault="003D7FDE" w:rsidP="008F3943">
      <w:pPr>
        <w:rPr>
          <w:lang w:val="en-GB"/>
        </w:rPr>
      </w:pPr>
    </w:p>
    <w:p w14:paraId="3FE703F8" w14:textId="77777777" w:rsidR="000C2058" w:rsidRPr="002B1AEB" w:rsidRDefault="000C2058" w:rsidP="000C2058">
      <w:pPr>
        <w:rPr>
          <w:lang w:val="en-GB"/>
        </w:rPr>
      </w:pPr>
      <w:r w:rsidRPr="002B1AEB">
        <w:rPr>
          <w:lang w:val="en-GB"/>
        </w:rPr>
        <w:t>Comments and opinions expressed by an external examiner about individual students during the assessment process may be disclosed to the student concerned, if the student makes a Subject Access Request under the Data Protection Act.</w:t>
      </w:r>
    </w:p>
    <w:p w14:paraId="1A267432" w14:textId="77777777" w:rsidR="00EC7AF9" w:rsidRDefault="00EC7AF9" w:rsidP="008F3943">
      <w:pPr>
        <w:rPr>
          <w:lang w:val="en-GB"/>
        </w:rPr>
      </w:pPr>
    </w:p>
    <w:p w14:paraId="627EF99A" w14:textId="6D91C219" w:rsidR="0046369F" w:rsidRPr="00F70EA5" w:rsidRDefault="0046369F" w:rsidP="008F3943">
      <w:pPr>
        <w:rPr>
          <w:lang w:val="en-GB"/>
        </w:rPr>
      </w:pPr>
      <w:r w:rsidRPr="2875BBF2">
        <w:rPr>
          <w:lang w:val="en-GB"/>
        </w:rPr>
        <w:t xml:space="preserve">An external examiner is entitled to make a </w:t>
      </w:r>
      <w:r w:rsidR="00C1761C">
        <w:rPr>
          <w:lang w:val="en-GB"/>
        </w:rPr>
        <w:t xml:space="preserve">Subject </w:t>
      </w:r>
      <w:r w:rsidRPr="2875BBF2">
        <w:rPr>
          <w:lang w:val="en-GB"/>
        </w:rPr>
        <w:t xml:space="preserve">Access Request under the Data Protection Act to see memoranda, emails and other communications relating </w:t>
      </w:r>
      <w:r w:rsidR="008120A9" w:rsidRPr="2875BBF2">
        <w:rPr>
          <w:lang w:val="en-GB"/>
        </w:rPr>
        <w:t xml:space="preserve">to </w:t>
      </w:r>
      <w:r w:rsidRPr="2875BBF2">
        <w:rPr>
          <w:lang w:val="en-GB"/>
        </w:rPr>
        <w:t>their appointment, including opinions expressed in a professional capacity about their appointment.</w:t>
      </w:r>
    </w:p>
    <w:p w14:paraId="6D05B32A" w14:textId="77777777" w:rsidR="00EC7AF9" w:rsidRPr="00F70EA5" w:rsidRDefault="00EC7AF9" w:rsidP="008F3943">
      <w:pPr>
        <w:rPr>
          <w:lang w:val="en-GB"/>
        </w:rPr>
      </w:pPr>
    </w:p>
    <w:p w14:paraId="58F1BB1E" w14:textId="2756C7E6" w:rsidR="0046369F" w:rsidRPr="00F70EA5" w:rsidRDefault="0046369F" w:rsidP="008F3943">
      <w:pPr>
        <w:rPr>
          <w:lang w:val="en-GB"/>
        </w:rPr>
      </w:pPr>
      <w:r w:rsidRPr="00F70EA5">
        <w:rPr>
          <w:lang w:val="en-GB"/>
        </w:rPr>
        <w:t>Under the Freedom of Information Act, the University will provide copies of external examiners’ reports to third parties who make a lawful request for these. Reports will normally retain examiners’ names. The University will consider any reasonable request from external examiners to anonymise their reports.  Such a request should be made in writing and submitted with the report.</w:t>
      </w:r>
    </w:p>
    <w:p w14:paraId="6AC4E9E0" w14:textId="77777777" w:rsidR="00EC7AF9" w:rsidRPr="00F70EA5" w:rsidRDefault="00EC7AF9" w:rsidP="008F3943">
      <w:pPr>
        <w:rPr>
          <w:lang w:val="en-GB"/>
        </w:rPr>
      </w:pPr>
    </w:p>
    <w:p w14:paraId="1EB58748" w14:textId="77777777" w:rsidR="009A60EE" w:rsidRPr="00F70EA5" w:rsidRDefault="0046369F" w:rsidP="008F3943">
      <w:pPr>
        <w:rPr>
          <w:lang w:val="en-GB"/>
        </w:rPr>
      </w:pPr>
      <w:r w:rsidRPr="00F70EA5">
        <w:rPr>
          <w:lang w:val="en-GB"/>
        </w:rPr>
        <w:t>Copyright in all external examiners' reports will be owned by the University. Examiners will not be permitted to retain their moral rights (under the Copyright Act) in the reports as the University may choose to anonymise the reports, as appropriate.</w:t>
      </w:r>
    </w:p>
    <w:p w14:paraId="6D28A07B" w14:textId="77777777" w:rsidR="00EC7AF9" w:rsidRPr="00F70EA5" w:rsidRDefault="00EC7AF9" w:rsidP="008F3943">
      <w:pPr>
        <w:rPr>
          <w:lang w:val="en-GB"/>
        </w:rPr>
      </w:pPr>
    </w:p>
    <w:p w14:paraId="428B2685" w14:textId="11AB28AE" w:rsidR="00C60EB3" w:rsidRPr="00F70EA5" w:rsidRDefault="4B15D297" w:rsidP="6C867254">
      <w:r w:rsidRPr="6C867254">
        <w:t>PAB e</w:t>
      </w:r>
      <w:r w:rsidR="30C46955" w:rsidRPr="6C867254">
        <w:t>xternal examiners will be granted access to the University’s External Examiner</w:t>
      </w:r>
      <w:r w:rsidR="49135411" w:rsidRPr="6C867254">
        <w:t>s’ Reporting System (EER</w:t>
      </w:r>
      <w:r w:rsidR="00970E20" w:rsidRPr="6C867254">
        <w:t>S</w:t>
      </w:r>
      <w:r w:rsidR="49135411" w:rsidRPr="6C867254">
        <w:t>)</w:t>
      </w:r>
      <w:r w:rsidRPr="6C867254">
        <w:t>.</w:t>
      </w:r>
      <w:r w:rsidR="115A46E1" w:rsidRPr="6C867254">
        <w:t xml:space="preserve">  </w:t>
      </w:r>
    </w:p>
    <w:sectPr w:rsidR="00C60EB3" w:rsidRPr="00F70EA5" w:rsidSect="007110B4">
      <w:headerReference w:type="default" r:id="rId14"/>
      <w:footerReference w:type="default" r:id="rId15"/>
      <w:pgSz w:w="11906" w:h="16838"/>
      <w:pgMar w:top="1440" w:right="1440" w:bottom="993"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19ED1" w14:textId="77777777" w:rsidR="004A3604" w:rsidRDefault="004A3604" w:rsidP="0046369F">
      <w:r>
        <w:separator/>
      </w:r>
    </w:p>
  </w:endnote>
  <w:endnote w:type="continuationSeparator" w:id="0">
    <w:p w14:paraId="7F2766BC" w14:textId="77777777" w:rsidR="004A3604" w:rsidRDefault="004A3604" w:rsidP="0046369F">
      <w:r>
        <w:continuationSeparator/>
      </w:r>
    </w:p>
  </w:endnote>
  <w:endnote w:type="continuationNotice" w:id="1">
    <w:p w14:paraId="1944EFFF" w14:textId="77777777" w:rsidR="004A3604" w:rsidRDefault="004A36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6F072" w14:textId="38D9C50D" w:rsidR="003C6410" w:rsidRPr="00481D40" w:rsidRDefault="70A3488C" w:rsidP="70A3488C">
    <w:pPr>
      <w:pStyle w:val="Footer"/>
      <w:pBdr>
        <w:top w:val="single" w:sz="4" w:space="1" w:color="auto"/>
      </w:pBdr>
      <w:tabs>
        <w:tab w:val="center" w:pos="4678"/>
        <w:tab w:val="right" w:pos="9072"/>
      </w:tabs>
      <w:ind w:right="-23"/>
      <w:rPr>
        <w:rFonts w:cs="Arial"/>
        <w:sz w:val="16"/>
        <w:szCs w:val="16"/>
        <w:lang w:val="en-GB"/>
      </w:rPr>
    </w:pPr>
    <w:r w:rsidRPr="70A3488C">
      <w:rPr>
        <w:rFonts w:cs="Arial"/>
        <w:sz w:val="16"/>
        <w:szCs w:val="16"/>
        <w:lang w:val="en-GB"/>
      </w:rPr>
      <w:t>AQSH: Guidance IG(v)</w:t>
    </w:r>
    <w:r w:rsidR="008A7E52">
      <w:tab/>
    </w:r>
    <w:r w:rsidRPr="70A3488C">
      <w:rPr>
        <w:sz w:val="16"/>
        <w:szCs w:val="16"/>
      </w:rPr>
      <w:t>202</w:t>
    </w:r>
    <w:r w:rsidR="00481346">
      <w:rPr>
        <w:sz w:val="16"/>
        <w:szCs w:val="16"/>
      </w:rPr>
      <w:t>5-26</w:t>
    </w:r>
    <w:r w:rsidR="008A7E52">
      <w:tab/>
    </w:r>
    <w:r w:rsidRPr="70A3488C">
      <w:rPr>
        <w:rFonts w:cs="Arial"/>
        <w:sz w:val="16"/>
        <w:szCs w:val="16"/>
        <w:lang w:val="en-GB"/>
      </w:rPr>
      <w:t xml:space="preserve">Page </w:t>
    </w:r>
    <w:r w:rsidR="008A7E52" w:rsidRPr="70A3488C">
      <w:rPr>
        <w:rFonts w:cs="Arial"/>
        <w:noProof/>
        <w:sz w:val="16"/>
        <w:szCs w:val="16"/>
        <w:lang w:val="en-GB"/>
      </w:rPr>
      <w:fldChar w:fldCharType="begin"/>
    </w:r>
    <w:r w:rsidR="008A7E52" w:rsidRPr="70A3488C">
      <w:rPr>
        <w:rFonts w:cs="Arial"/>
        <w:sz w:val="16"/>
        <w:szCs w:val="16"/>
        <w:lang w:val="en-GB"/>
      </w:rPr>
      <w:instrText xml:space="preserve"> PAGE </w:instrText>
    </w:r>
    <w:r w:rsidR="008A7E52" w:rsidRPr="70A3488C">
      <w:rPr>
        <w:rFonts w:cs="Arial"/>
        <w:sz w:val="16"/>
        <w:szCs w:val="16"/>
        <w:lang w:val="en-GB"/>
      </w:rPr>
      <w:fldChar w:fldCharType="separate"/>
    </w:r>
    <w:r w:rsidRPr="70A3488C">
      <w:rPr>
        <w:rFonts w:cs="Arial"/>
        <w:noProof/>
        <w:sz w:val="16"/>
        <w:szCs w:val="16"/>
        <w:lang w:val="en-GB"/>
      </w:rPr>
      <w:t>3</w:t>
    </w:r>
    <w:r w:rsidR="008A7E52" w:rsidRPr="70A3488C">
      <w:rPr>
        <w:rFonts w:cs="Arial"/>
        <w:noProof/>
        <w:sz w:val="16"/>
        <w:szCs w:val="16"/>
        <w:lang w:val="en-GB"/>
      </w:rPr>
      <w:fldChar w:fldCharType="end"/>
    </w:r>
    <w:r w:rsidRPr="70A3488C">
      <w:rPr>
        <w:rFonts w:cs="Arial"/>
        <w:sz w:val="16"/>
        <w:szCs w:val="16"/>
        <w:lang w:val="en-GB"/>
      </w:rPr>
      <w:t xml:space="preserve"> of </w:t>
    </w:r>
    <w:r w:rsidR="008A7E52" w:rsidRPr="70A3488C">
      <w:rPr>
        <w:rFonts w:cs="Arial"/>
        <w:noProof/>
        <w:sz w:val="16"/>
        <w:szCs w:val="16"/>
        <w:lang w:val="en-GB"/>
      </w:rPr>
      <w:fldChar w:fldCharType="begin"/>
    </w:r>
    <w:r w:rsidR="008A7E52" w:rsidRPr="70A3488C">
      <w:rPr>
        <w:rFonts w:cs="Arial"/>
        <w:sz w:val="16"/>
        <w:szCs w:val="16"/>
        <w:lang w:val="en-GB"/>
      </w:rPr>
      <w:instrText xml:space="preserve"> NUMPAGES </w:instrText>
    </w:r>
    <w:r w:rsidR="008A7E52" w:rsidRPr="70A3488C">
      <w:rPr>
        <w:rFonts w:cs="Arial"/>
        <w:sz w:val="16"/>
        <w:szCs w:val="16"/>
        <w:lang w:val="en-GB"/>
      </w:rPr>
      <w:fldChar w:fldCharType="separate"/>
    </w:r>
    <w:r w:rsidRPr="70A3488C">
      <w:rPr>
        <w:rFonts w:cs="Arial"/>
        <w:noProof/>
        <w:sz w:val="16"/>
        <w:szCs w:val="16"/>
        <w:lang w:val="en-GB"/>
      </w:rPr>
      <w:t>3</w:t>
    </w:r>
    <w:r w:rsidR="008A7E52" w:rsidRPr="70A3488C">
      <w:rPr>
        <w:rFonts w:cs="Arial"/>
        <w:noProof/>
        <w:sz w:val="16"/>
        <w:szCs w:val="16"/>
        <w:lang w:val="en-GB"/>
      </w:rPr>
      <w:fldChar w:fldCharType="end"/>
    </w:r>
  </w:p>
  <w:p w14:paraId="672A6659" w14:textId="77777777" w:rsidR="0046369F" w:rsidRPr="00110C58" w:rsidRDefault="0046369F" w:rsidP="003C6410">
    <w:pPr>
      <w:pStyle w:val="Footer"/>
      <w:tabs>
        <w:tab w:val="center" w:pos="7513"/>
      </w:tabs>
      <w:ind w:hanging="709"/>
      <w:rPr>
        <w:rFonts w:cs="Arial"/>
        <w:sz w:val="16"/>
        <w:szCs w:val="16"/>
      </w:rPr>
    </w:pPr>
  </w:p>
  <w:p w14:paraId="0A37501D" w14:textId="77777777" w:rsidR="0046369F" w:rsidRDefault="0046369F" w:rsidP="003C6410">
    <w:pPr>
      <w:pStyle w:val="Footer"/>
    </w:pPr>
  </w:p>
  <w:p w14:paraId="5DAB6C7B" w14:textId="77777777" w:rsidR="0046369F" w:rsidRDefault="00463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60978A" w14:textId="77777777" w:rsidR="004A3604" w:rsidRDefault="004A3604" w:rsidP="0046369F">
      <w:r>
        <w:separator/>
      </w:r>
    </w:p>
  </w:footnote>
  <w:footnote w:type="continuationSeparator" w:id="0">
    <w:p w14:paraId="1ABCECB4" w14:textId="77777777" w:rsidR="004A3604" w:rsidRDefault="004A3604" w:rsidP="0046369F">
      <w:r>
        <w:continuationSeparator/>
      </w:r>
    </w:p>
  </w:footnote>
  <w:footnote w:type="continuationNotice" w:id="1">
    <w:p w14:paraId="682F8423" w14:textId="77777777" w:rsidR="004A3604" w:rsidRDefault="004A36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3D3EC" w14:textId="77777777" w:rsidR="00527F70" w:rsidRPr="000B1DCA" w:rsidRDefault="00527F70" w:rsidP="000B1DCA">
    <w:pPr>
      <w:pStyle w:val="Header"/>
      <w:tabs>
        <w:tab w:val="right" w:pos="14601"/>
      </w:tabs>
      <w:jc w:val="right"/>
      <w:rPr>
        <w:rFonts w:ascii="Calibri Light" w:hAnsi="Calibri Light" w:cs="Calibri Light"/>
        <w:b/>
        <w:snapToGrid/>
        <w:color w:val="FF0000"/>
        <w:sz w:val="28"/>
        <w:szCs w:val="28"/>
      </w:rPr>
    </w:pPr>
    <w:r>
      <w:rPr>
        <w:rFonts w:cs="Arial"/>
        <w:sz w:val="16"/>
        <w:szCs w:val="16"/>
        <w:lang w:val="en-GB"/>
      </w:rPr>
      <w:tab/>
    </w:r>
    <w:r>
      <w:rPr>
        <w:rFonts w:cs="Arial"/>
        <w:sz w:val="16"/>
        <w:szCs w:val="16"/>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33433"/>
    <w:multiLevelType w:val="hybridMultilevel"/>
    <w:tmpl w:val="0D609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7F1F21"/>
    <w:multiLevelType w:val="hybridMultilevel"/>
    <w:tmpl w:val="BECAB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732641">
    <w:abstractNumId w:val="0"/>
  </w:num>
  <w:num w:numId="2" w16cid:durableId="1814908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69F"/>
    <w:rsid w:val="000002E1"/>
    <w:rsid w:val="0000202E"/>
    <w:rsid w:val="00005DF4"/>
    <w:rsid w:val="000064D3"/>
    <w:rsid w:val="000079EC"/>
    <w:rsid w:val="00010E72"/>
    <w:rsid w:val="00011600"/>
    <w:rsid w:val="00012B0F"/>
    <w:rsid w:val="00012B2F"/>
    <w:rsid w:val="000138AA"/>
    <w:rsid w:val="00013B44"/>
    <w:rsid w:val="00013D97"/>
    <w:rsid w:val="00014CCC"/>
    <w:rsid w:val="0001523B"/>
    <w:rsid w:val="000159E3"/>
    <w:rsid w:val="00020FB7"/>
    <w:rsid w:val="00021AFF"/>
    <w:rsid w:val="00021EA3"/>
    <w:rsid w:val="00022A9E"/>
    <w:rsid w:val="00022C89"/>
    <w:rsid w:val="00023EE0"/>
    <w:rsid w:val="00025B49"/>
    <w:rsid w:val="00026D21"/>
    <w:rsid w:val="000277F4"/>
    <w:rsid w:val="0003162F"/>
    <w:rsid w:val="0003175B"/>
    <w:rsid w:val="00031E53"/>
    <w:rsid w:val="00031FBB"/>
    <w:rsid w:val="00032DC8"/>
    <w:rsid w:val="000335E4"/>
    <w:rsid w:val="00033A10"/>
    <w:rsid w:val="000353FC"/>
    <w:rsid w:val="0003562C"/>
    <w:rsid w:val="00035D6B"/>
    <w:rsid w:val="00036B13"/>
    <w:rsid w:val="00037212"/>
    <w:rsid w:val="0003722D"/>
    <w:rsid w:val="00040D52"/>
    <w:rsid w:val="00041914"/>
    <w:rsid w:val="00041F69"/>
    <w:rsid w:val="00042F42"/>
    <w:rsid w:val="00043022"/>
    <w:rsid w:val="000432CF"/>
    <w:rsid w:val="00044BC1"/>
    <w:rsid w:val="000452F2"/>
    <w:rsid w:val="00047358"/>
    <w:rsid w:val="000519D8"/>
    <w:rsid w:val="00052779"/>
    <w:rsid w:val="0005282F"/>
    <w:rsid w:val="00053333"/>
    <w:rsid w:val="00053F3F"/>
    <w:rsid w:val="00054336"/>
    <w:rsid w:val="00054B0D"/>
    <w:rsid w:val="000551E3"/>
    <w:rsid w:val="000637BA"/>
    <w:rsid w:val="00063A37"/>
    <w:rsid w:val="00064350"/>
    <w:rsid w:val="00067DF6"/>
    <w:rsid w:val="00073A70"/>
    <w:rsid w:val="00075169"/>
    <w:rsid w:val="00075522"/>
    <w:rsid w:val="0007617F"/>
    <w:rsid w:val="000763BD"/>
    <w:rsid w:val="00076E42"/>
    <w:rsid w:val="00080028"/>
    <w:rsid w:val="000836F1"/>
    <w:rsid w:val="00084B12"/>
    <w:rsid w:val="00084E77"/>
    <w:rsid w:val="00085064"/>
    <w:rsid w:val="000852CC"/>
    <w:rsid w:val="00085856"/>
    <w:rsid w:val="00087B85"/>
    <w:rsid w:val="00090423"/>
    <w:rsid w:val="00092564"/>
    <w:rsid w:val="00093034"/>
    <w:rsid w:val="000943DF"/>
    <w:rsid w:val="0009486D"/>
    <w:rsid w:val="000967F2"/>
    <w:rsid w:val="0009690C"/>
    <w:rsid w:val="000A041D"/>
    <w:rsid w:val="000A4168"/>
    <w:rsid w:val="000A5959"/>
    <w:rsid w:val="000A61FD"/>
    <w:rsid w:val="000A63BA"/>
    <w:rsid w:val="000A730B"/>
    <w:rsid w:val="000B0843"/>
    <w:rsid w:val="000B129A"/>
    <w:rsid w:val="000B1DCA"/>
    <w:rsid w:val="000B269C"/>
    <w:rsid w:val="000B2713"/>
    <w:rsid w:val="000B4483"/>
    <w:rsid w:val="000B4FC2"/>
    <w:rsid w:val="000B71DA"/>
    <w:rsid w:val="000C1B3E"/>
    <w:rsid w:val="000C2058"/>
    <w:rsid w:val="000C2113"/>
    <w:rsid w:val="000C265B"/>
    <w:rsid w:val="000C51EA"/>
    <w:rsid w:val="000C55E0"/>
    <w:rsid w:val="000C6BCB"/>
    <w:rsid w:val="000D3CF3"/>
    <w:rsid w:val="000D47BE"/>
    <w:rsid w:val="000D4A4A"/>
    <w:rsid w:val="000D5169"/>
    <w:rsid w:val="000D5621"/>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04B2"/>
    <w:rsid w:val="000F124B"/>
    <w:rsid w:val="000F38C3"/>
    <w:rsid w:val="000F5A08"/>
    <w:rsid w:val="001012A1"/>
    <w:rsid w:val="001018F0"/>
    <w:rsid w:val="0010192D"/>
    <w:rsid w:val="00102DA0"/>
    <w:rsid w:val="001066A8"/>
    <w:rsid w:val="0010707B"/>
    <w:rsid w:val="00107B05"/>
    <w:rsid w:val="001101E9"/>
    <w:rsid w:val="001102AA"/>
    <w:rsid w:val="00111690"/>
    <w:rsid w:val="00111F95"/>
    <w:rsid w:val="00112519"/>
    <w:rsid w:val="001132EB"/>
    <w:rsid w:val="00114F7B"/>
    <w:rsid w:val="00117EB0"/>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13CE"/>
    <w:rsid w:val="00142485"/>
    <w:rsid w:val="00145B29"/>
    <w:rsid w:val="00145B3C"/>
    <w:rsid w:val="00145B6E"/>
    <w:rsid w:val="001466F7"/>
    <w:rsid w:val="00146CB2"/>
    <w:rsid w:val="00146E3D"/>
    <w:rsid w:val="00147ABC"/>
    <w:rsid w:val="00151883"/>
    <w:rsid w:val="00152460"/>
    <w:rsid w:val="001525D2"/>
    <w:rsid w:val="00154831"/>
    <w:rsid w:val="00157055"/>
    <w:rsid w:val="00160121"/>
    <w:rsid w:val="00160E05"/>
    <w:rsid w:val="001640D0"/>
    <w:rsid w:val="00164360"/>
    <w:rsid w:val="00165025"/>
    <w:rsid w:val="00165B4D"/>
    <w:rsid w:val="00165BCF"/>
    <w:rsid w:val="001665D4"/>
    <w:rsid w:val="00166D8E"/>
    <w:rsid w:val="00167F4C"/>
    <w:rsid w:val="00172B08"/>
    <w:rsid w:val="001731C4"/>
    <w:rsid w:val="001733C5"/>
    <w:rsid w:val="00173F94"/>
    <w:rsid w:val="00174337"/>
    <w:rsid w:val="00177B42"/>
    <w:rsid w:val="00181451"/>
    <w:rsid w:val="001827B3"/>
    <w:rsid w:val="00183084"/>
    <w:rsid w:val="00183FC6"/>
    <w:rsid w:val="00185D46"/>
    <w:rsid w:val="00187DEF"/>
    <w:rsid w:val="001949ED"/>
    <w:rsid w:val="0019610A"/>
    <w:rsid w:val="00196F19"/>
    <w:rsid w:val="001A104C"/>
    <w:rsid w:val="001A111E"/>
    <w:rsid w:val="001A1738"/>
    <w:rsid w:val="001A2444"/>
    <w:rsid w:val="001A27E2"/>
    <w:rsid w:val="001A2BA0"/>
    <w:rsid w:val="001A3164"/>
    <w:rsid w:val="001A430F"/>
    <w:rsid w:val="001A5630"/>
    <w:rsid w:val="001A756B"/>
    <w:rsid w:val="001B2282"/>
    <w:rsid w:val="001B3677"/>
    <w:rsid w:val="001B523C"/>
    <w:rsid w:val="001B600B"/>
    <w:rsid w:val="001B683B"/>
    <w:rsid w:val="001B7F12"/>
    <w:rsid w:val="001C1257"/>
    <w:rsid w:val="001C1F00"/>
    <w:rsid w:val="001C3EDA"/>
    <w:rsid w:val="001C416E"/>
    <w:rsid w:val="001C4573"/>
    <w:rsid w:val="001C4C15"/>
    <w:rsid w:val="001D0537"/>
    <w:rsid w:val="001D0B09"/>
    <w:rsid w:val="001D0E9C"/>
    <w:rsid w:val="001D1149"/>
    <w:rsid w:val="001D7D6F"/>
    <w:rsid w:val="001E0808"/>
    <w:rsid w:val="001E0868"/>
    <w:rsid w:val="001E25CD"/>
    <w:rsid w:val="001E2DD8"/>
    <w:rsid w:val="001E58D9"/>
    <w:rsid w:val="001E6730"/>
    <w:rsid w:val="001F0386"/>
    <w:rsid w:val="001F11AD"/>
    <w:rsid w:val="001F1229"/>
    <w:rsid w:val="001F170F"/>
    <w:rsid w:val="001F3036"/>
    <w:rsid w:val="0020178F"/>
    <w:rsid w:val="00207199"/>
    <w:rsid w:val="00207D6E"/>
    <w:rsid w:val="00210A85"/>
    <w:rsid w:val="00213E69"/>
    <w:rsid w:val="00214BD4"/>
    <w:rsid w:val="00216E34"/>
    <w:rsid w:val="00216E66"/>
    <w:rsid w:val="0021716C"/>
    <w:rsid w:val="002221E0"/>
    <w:rsid w:val="00222220"/>
    <w:rsid w:val="00223D49"/>
    <w:rsid w:val="002245B5"/>
    <w:rsid w:val="00225103"/>
    <w:rsid w:val="002256F6"/>
    <w:rsid w:val="00227BD1"/>
    <w:rsid w:val="00231659"/>
    <w:rsid w:val="00232FBD"/>
    <w:rsid w:val="0023442D"/>
    <w:rsid w:val="00237043"/>
    <w:rsid w:val="002371A8"/>
    <w:rsid w:val="00241DCB"/>
    <w:rsid w:val="002421F8"/>
    <w:rsid w:val="00243B7B"/>
    <w:rsid w:val="0024644D"/>
    <w:rsid w:val="002515EA"/>
    <w:rsid w:val="00251D6D"/>
    <w:rsid w:val="002524B3"/>
    <w:rsid w:val="002527DE"/>
    <w:rsid w:val="00253A26"/>
    <w:rsid w:val="002541D6"/>
    <w:rsid w:val="00254800"/>
    <w:rsid w:val="00256132"/>
    <w:rsid w:val="00256E5C"/>
    <w:rsid w:val="00257823"/>
    <w:rsid w:val="00260BC0"/>
    <w:rsid w:val="002617FA"/>
    <w:rsid w:val="00263CAD"/>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566"/>
    <w:rsid w:val="00285BA5"/>
    <w:rsid w:val="00287141"/>
    <w:rsid w:val="0029012A"/>
    <w:rsid w:val="002929AD"/>
    <w:rsid w:val="00293A7D"/>
    <w:rsid w:val="0029445A"/>
    <w:rsid w:val="00295712"/>
    <w:rsid w:val="002959F8"/>
    <w:rsid w:val="002964D6"/>
    <w:rsid w:val="00297E58"/>
    <w:rsid w:val="002A2104"/>
    <w:rsid w:val="002A541C"/>
    <w:rsid w:val="002A6D8F"/>
    <w:rsid w:val="002A743D"/>
    <w:rsid w:val="002B0123"/>
    <w:rsid w:val="002B1AEF"/>
    <w:rsid w:val="002B22F0"/>
    <w:rsid w:val="002B2DC9"/>
    <w:rsid w:val="002B3AA4"/>
    <w:rsid w:val="002B4A08"/>
    <w:rsid w:val="002B7841"/>
    <w:rsid w:val="002B7CB9"/>
    <w:rsid w:val="002C0A4F"/>
    <w:rsid w:val="002C1501"/>
    <w:rsid w:val="002C1847"/>
    <w:rsid w:val="002C1C72"/>
    <w:rsid w:val="002C2FF9"/>
    <w:rsid w:val="002C587A"/>
    <w:rsid w:val="002C60C0"/>
    <w:rsid w:val="002D1E65"/>
    <w:rsid w:val="002D20BD"/>
    <w:rsid w:val="002D2BD1"/>
    <w:rsid w:val="002D31AE"/>
    <w:rsid w:val="002D34FA"/>
    <w:rsid w:val="002D509A"/>
    <w:rsid w:val="002D53E9"/>
    <w:rsid w:val="002D6467"/>
    <w:rsid w:val="002E396C"/>
    <w:rsid w:val="002E409E"/>
    <w:rsid w:val="002E66E1"/>
    <w:rsid w:val="002E7B53"/>
    <w:rsid w:val="002E7C6E"/>
    <w:rsid w:val="002F02B3"/>
    <w:rsid w:val="002F0443"/>
    <w:rsid w:val="002F1C7B"/>
    <w:rsid w:val="002F31FD"/>
    <w:rsid w:val="002F4B6F"/>
    <w:rsid w:val="002F5B31"/>
    <w:rsid w:val="002F5FB1"/>
    <w:rsid w:val="002F6368"/>
    <w:rsid w:val="00300689"/>
    <w:rsid w:val="003015EC"/>
    <w:rsid w:val="003026B3"/>
    <w:rsid w:val="0030364C"/>
    <w:rsid w:val="003039D8"/>
    <w:rsid w:val="003048CC"/>
    <w:rsid w:val="00305D1C"/>
    <w:rsid w:val="00305E1E"/>
    <w:rsid w:val="00310AD9"/>
    <w:rsid w:val="00310EDB"/>
    <w:rsid w:val="0031136F"/>
    <w:rsid w:val="0031505B"/>
    <w:rsid w:val="00316319"/>
    <w:rsid w:val="00317027"/>
    <w:rsid w:val="00317992"/>
    <w:rsid w:val="003206CD"/>
    <w:rsid w:val="00324F2B"/>
    <w:rsid w:val="003254EA"/>
    <w:rsid w:val="00327695"/>
    <w:rsid w:val="00332AE9"/>
    <w:rsid w:val="003353B6"/>
    <w:rsid w:val="00336761"/>
    <w:rsid w:val="00336E22"/>
    <w:rsid w:val="00336F43"/>
    <w:rsid w:val="0034014C"/>
    <w:rsid w:val="0034048B"/>
    <w:rsid w:val="00343A01"/>
    <w:rsid w:val="00343FFD"/>
    <w:rsid w:val="00344684"/>
    <w:rsid w:val="00345A77"/>
    <w:rsid w:val="00347401"/>
    <w:rsid w:val="00350424"/>
    <w:rsid w:val="00350F35"/>
    <w:rsid w:val="00351864"/>
    <w:rsid w:val="003551E2"/>
    <w:rsid w:val="0035651B"/>
    <w:rsid w:val="00362459"/>
    <w:rsid w:val="00362719"/>
    <w:rsid w:val="003629D3"/>
    <w:rsid w:val="003634A9"/>
    <w:rsid w:val="00363768"/>
    <w:rsid w:val="003643C9"/>
    <w:rsid w:val="003660F4"/>
    <w:rsid w:val="003666FC"/>
    <w:rsid w:val="0037133E"/>
    <w:rsid w:val="00371D46"/>
    <w:rsid w:val="00373DB3"/>
    <w:rsid w:val="00374F56"/>
    <w:rsid w:val="0037767E"/>
    <w:rsid w:val="00377A46"/>
    <w:rsid w:val="00380BE7"/>
    <w:rsid w:val="00380EDF"/>
    <w:rsid w:val="003848C2"/>
    <w:rsid w:val="00384B41"/>
    <w:rsid w:val="00385EE9"/>
    <w:rsid w:val="003862A8"/>
    <w:rsid w:val="003875C9"/>
    <w:rsid w:val="00387A10"/>
    <w:rsid w:val="00390086"/>
    <w:rsid w:val="00390D47"/>
    <w:rsid w:val="0039132D"/>
    <w:rsid w:val="0039306E"/>
    <w:rsid w:val="003937EE"/>
    <w:rsid w:val="00395420"/>
    <w:rsid w:val="00396CEF"/>
    <w:rsid w:val="0039776E"/>
    <w:rsid w:val="003A12EA"/>
    <w:rsid w:val="003A1CFC"/>
    <w:rsid w:val="003A59BC"/>
    <w:rsid w:val="003A5B5C"/>
    <w:rsid w:val="003A6BA6"/>
    <w:rsid w:val="003B0ABE"/>
    <w:rsid w:val="003B2785"/>
    <w:rsid w:val="003B510A"/>
    <w:rsid w:val="003B5132"/>
    <w:rsid w:val="003B6AC7"/>
    <w:rsid w:val="003C0336"/>
    <w:rsid w:val="003C0390"/>
    <w:rsid w:val="003C06E8"/>
    <w:rsid w:val="003C1656"/>
    <w:rsid w:val="003C2084"/>
    <w:rsid w:val="003C2278"/>
    <w:rsid w:val="003C2B95"/>
    <w:rsid w:val="003C2D61"/>
    <w:rsid w:val="003C6410"/>
    <w:rsid w:val="003C6975"/>
    <w:rsid w:val="003C6AD3"/>
    <w:rsid w:val="003C6D22"/>
    <w:rsid w:val="003D03F3"/>
    <w:rsid w:val="003D0CFC"/>
    <w:rsid w:val="003D38AD"/>
    <w:rsid w:val="003D436C"/>
    <w:rsid w:val="003D4B5F"/>
    <w:rsid w:val="003D5838"/>
    <w:rsid w:val="003D5DD6"/>
    <w:rsid w:val="003D7DEA"/>
    <w:rsid w:val="003D7E5E"/>
    <w:rsid w:val="003D7FDE"/>
    <w:rsid w:val="003E054F"/>
    <w:rsid w:val="003E0BA5"/>
    <w:rsid w:val="003E0CA7"/>
    <w:rsid w:val="003E2903"/>
    <w:rsid w:val="003E2ED0"/>
    <w:rsid w:val="003E48E1"/>
    <w:rsid w:val="003E5E0F"/>
    <w:rsid w:val="003E65E8"/>
    <w:rsid w:val="003E6E04"/>
    <w:rsid w:val="003E7D57"/>
    <w:rsid w:val="003E7DC7"/>
    <w:rsid w:val="003F0E1B"/>
    <w:rsid w:val="003F16D9"/>
    <w:rsid w:val="003F21BB"/>
    <w:rsid w:val="003F674C"/>
    <w:rsid w:val="00403A8F"/>
    <w:rsid w:val="00404297"/>
    <w:rsid w:val="00410C44"/>
    <w:rsid w:val="00410D14"/>
    <w:rsid w:val="004110BA"/>
    <w:rsid w:val="00411243"/>
    <w:rsid w:val="004143B7"/>
    <w:rsid w:val="004146C9"/>
    <w:rsid w:val="00414DF4"/>
    <w:rsid w:val="004160DA"/>
    <w:rsid w:val="00422320"/>
    <w:rsid w:val="004236E0"/>
    <w:rsid w:val="00424B0F"/>
    <w:rsid w:val="00424BC6"/>
    <w:rsid w:val="0042527C"/>
    <w:rsid w:val="0042572B"/>
    <w:rsid w:val="00426298"/>
    <w:rsid w:val="00426D4B"/>
    <w:rsid w:val="00427529"/>
    <w:rsid w:val="004315EB"/>
    <w:rsid w:val="004319E0"/>
    <w:rsid w:val="0043276E"/>
    <w:rsid w:val="00437580"/>
    <w:rsid w:val="0043796E"/>
    <w:rsid w:val="00443D98"/>
    <w:rsid w:val="00443E71"/>
    <w:rsid w:val="00450B0C"/>
    <w:rsid w:val="004526AD"/>
    <w:rsid w:val="00452A72"/>
    <w:rsid w:val="00453E97"/>
    <w:rsid w:val="00460A37"/>
    <w:rsid w:val="0046194A"/>
    <w:rsid w:val="00461B1F"/>
    <w:rsid w:val="004621F6"/>
    <w:rsid w:val="00463066"/>
    <w:rsid w:val="0046369F"/>
    <w:rsid w:val="00463EAF"/>
    <w:rsid w:val="004676CE"/>
    <w:rsid w:val="0047013B"/>
    <w:rsid w:val="00470B78"/>
    <w:rsid w:val="00472FAF"/>
    <w:rsid w:val="00473D70"/>
    <w:rsid w:val="00474C89"/>
    <w:rsid w:val="00475703"/>
    <w:rsid w:val="004759FD"/>
    <w:rsid w:val="004767BA"/>
    <w:rsid w:val="00481346"/>
    <w:rsid w:val="00482D35"/>
    <w:rsid w:val="00484EEB"/>
    <w:rsid w:val="00487EC8"/>
    <w:rsid w:val="00491403"/>
    <w:rsid w:val="00492AF5"/>
    <w:rsid w:val="0049317E"/>
    <w:rsid w:val="0049394F"/>
    <w:rsid w:val="00494C0F"/>
    <w:rsid w:val="004A1B40"/>
    <w:rsid w:val="004A3604"/>
    <w:rsid w:val="004A4F0B"/>
    <w:rsid w:val="004A586E"/>
    <w:rsid w:val="004A7923"/>
    <w:rsid w:val="004A79D4"/>
    <w:rsid w:val="004B0460"/>
    <w:rsid w:val="004B6620"/>
    <w:rsid w:val="004B6B76"/>
    <w:rsid w:val="004B6C15"/>
    <w:rsid w:val="004C1279"/>
    <w:rsid w:val="004C2A97"/>
    <w:rsid w:val="004C302E"/>
    <w:rsid w:val="004C5AD1"/>
    <w:rsid w:val="004D00A3"/>
    <w:rsid w:val="004D220E"/>
    <w:rsid w:val="004D39AC"/>
    <w:rsid w:val="004D44DA"/>
    <w:rsid w:val="004E0D2B"/>
    <w:rsid w:val="004E1F22"/>
    <w:rsid w:val="004E42D9"/>
    <w:rsid w:val="004E54E1"/>
    <w:rsid w:val="004E6270"/>
    <w:rsid w:val="004E6E92"/>
    <w:rsid w:val="004F0686"/>
    <w:rsid w:val="004F1061"/>
    <w:rsid w:val="004F1498"/>
    <w:rsid w:val="004F238B"/>
    <w:rsid w:val="004F34D5"/>
    <w:rsid w:val="004F486D"/>
    <w:rsid w:val="004F5F8A"/>
    <w:rsid w:val="004F606A"/>
    <w:rsid w:val="004F74D7"/>
    <w:rsid w:val="00504DAA"/>
    <w:rsid w:val="0050528F"/>
    <w:rsid w:val="00507F2C"/>
    <w:rsid w:val="00511B47"/>
    <w:rsid w:val="00515DC7"/>
    <w:rsid w:val="00517772"/>
    <w:rsid w:val="00521064"/>
    <w:rsid w:val="00522F3B"/>
    <w:rsid w:val="00524C00"/>
    <w:rsid w:val="0052669E"/>
    <w:rsid w:val="00526F9B"/>
    <w:rsid w:val="00527063"/>
    <w:rsid w:val="00527F60"/>
    <w:rsid w:val="00527F70"/>
    <w:rsid w:val="00530523"/>
    <w:rsid w:val="00530BDB"/>
    <w:rsid w:val="00532316"/>
    <w:rsid w:val="00533183"/>
    <w:rsid w:val="00535F49"/>
    <w:rsid w:val="00536C7D"/>
    <w:rsid w:val="00536CDF"/>
    <w:rsid w:val="00537293"/>
    <w:rsid w:val="005405D1"/>
    <w:rsid w:val="00542BF2"/>
    <w:rsid w:val="00542F3A"/>
    <w:rsid w:val="00543A7A"/>
    <w:rsid w:val="00543D4F"/>
    <w:rsid w:val="00544FA7"/>
    <w:rsid w:val="00546D83"/>
    <w:rsid w:val="00547197"/>
    <w:rsid w:val="0055161E"/>
    <w:rsid w:val="00552E5D"/>
    <w:rsid w:val="00552FA6"/>
    <w:rsid w:val="00560EA6"/>
    <w:rsid w:val="00561905"/>
    <w:rsid w:val="00561D5A"/>
    <w:rsid w:val="00562601"/>
    <w:rsid w:val="0056273B"/>
    <w:rsid w:val="005641C1"/>
    <w:rsid w:val="00565507"/>
    <w:rsid w:val="00567C0E"/>
    <w:rsid w:val="005704D2"/>
    <w:rsid w:val="005731ED"/>
    <w:rsid w:val="005738D0"/>
    <w:rsid w:val="00575308"/>
    <w:rsid w:val="00575CEA"/>
    <w:rsid w:val="0057783B"/>
    <w:rsid w:val="00582345"/>
    <w:rsid w:val="00582F93"/>
    <w:rsid w:val="0058724A"/>
    <w:rsid w:val="0058730B"/>
    <w:rsid w:val="00587ED8"/>
    <w:rsid w:val="00590428"/>
    <w:rsid w:val="00590B5E"/>
    <w:rsid w:val="0059219C"/>
    <w:rsid w:val="00595B0D"/>
    <w:rsid w:val="00597EFD"/>
    <w:rsid w:val="005A1534"/>
    <w:rsid w:val="005A3159"/>
    <w:rsid w:val="005A587E"/>
    <w:rsid w:val="005A76AA"/>
    <w:rsid w:val="005B1518"/>
    <w:rsid w:val="005B18E1"/>
    <w:rsid w:val="005B3BE3"/>
    <w:rsid w:val="005B4C28"/>
    <w:rsid w:val="005C0589"/>
    <w:rsid w:val="005C2054"/>
    <w:rsid w:val="005C2CCE"/>
    <w:rsid w:val="005C3910"/>
    <w:rsid w:val="005C5B50"/>
    <w:rsid w:val="005C5B68"/>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D1D"/>
    <w:rsid w:val="005F6FF6"/>
    <w:rsid w:val="00600093"/>
    <w:rsid w:val="006024B5"/>
    <w:rsid w:val="00602C0C"/>
    <w:rsid w:val="00606381"/>
    <w:rsid w:val="006066F3"/>
    <w:rsid w:val="0060773C"/>
    <w:rsid w:val="00610185"/>
    <w:rsid w:val="006120FE"/>
    <w:rsid w:val="00612CC7"/>
    <w:rsid w:val="00613075"/>
    <w:rsid w:val="00613F07"/>
    <w:rsid w:val="00614C70"/>
    <w:rsid w:val="00616347"/>
    <w:rsid w:val="00616BBE"/>
    <w:rsid w:val="006202DD"/>
    <w:rsid w:val="006208F9"/>
    <w:rsid w:val="00621091"/>
    <w:rsid w:val="00621682"/>
    <w:rsid w:val="00622DFC"/>
    <w:rsid w:val="00624260"/>
    <w:rsid w:val="0062439E"/>
    <w:rsid w:val="00624847"/>
    <w:rsid w:val="006255A0"/>
    <w:rsid w:val="00627598"/>
    <w:rsid w:val="0063120B"/>
    <w:rsid w:val="00631680"/>
    <w:rsid w:val="006326B1"/>
    <w:rsid w:val="00633467"/>
    <w:rsid w:val="006334E1"/>
    <w:rsid w:val="0063596C"/>
    <w:rsid w:val="00636E9E"/>
    <w:rsid w:val="00636F59"/>
    <w:rsid w:val="00640FC1"/>
    <w:rsid w:val="00642082"/>
    <w:rsid w:val="0064256A"/>
    <w:rsid w:val="006425D2"/>
    <w:rsid w:val="00642F9F"/>
    <w:rsid w:val="006433B3"/>
    <w:rsid w:val="0064345D"/>
    <w:rsid w:val="006440CF"/>
    <w:rsid w:val="00646C4F"/>
    <w:rsid w:val="00646D16"/>
    <w:rsid w:val="00651960"/>
    <w:rsid w:val="00651C11"/>
    <w:rsid w:val="00653626"/>
    <w:rsid w:val="006550A0"/>
    <w:rsid w:val="00655908"/>
    <w:rsid w:val="00657CE2"/>
    <w:rsid w:val="00660D43"/>
    <w:rsid w:val="00662FFF"/>
    <w:rsid w:val="00663091"/>
    <w:rsid w:val="0066555D"/>
    <w:rsid w:val="00665579"/>
    <w:rsid w:val="00665DE8"/>
    <w:rsid w:val="00665E5B"/>
    <w:rsid w:val="006663F7"/>
    <w:rsid w:val="00670932"/>
    <w:rsid w:val="00671182"/>
    <w:rsid w:val="00671EE7"/>
    <w:rsid w:val="00672ABC"/>
    <w:rsid w:val="00675AFB"/>
    <w:rsid w:val="00675BAC"/>
    <w:rsid w:val="00676D12"/>
    <w:rsid w:val="0068006F"/>
    <w:rsid w:val="0068111F"/>
    <w:rsid w:val="00682679"/>
    <w:rsid w:val="0068372C"/>
    <w:rsid w:val="00683B64"/>
    <w:rsid w:val="00693615"/>
    <w:rsid w:val="00694278"/>
    <w:rsid w:val="006947A2"/>
    <w:rsid w:val="006964F4"/>
    <w:rsid w:val="00696A29"/>
    <w:rsid w:val="0069771F"/>
    <w:rsid w:val="006A01A2"/>
    <w:rsid w:val="006A01B7"/>
    <w:rsid w:val="006A18D0"/>
    <w:rsid w:val="006A25B4"/>
    <w:rsid w:val="006A6241"/>
    <w:rsid w:val="006A70BC"/>
    <w:rsid w:val="006A71C0"/>
    <w:rsid w:val="006B09B9"/>
    <w:rsid w:val="006B0CAB"/>
    <w:rsid w:val="006B1665"/>
    <w:rsid w:val="006B1DE2"/>
    <w:rsid w:val="006B214E"/>
    <w:rsid w:val="006B23BA"/>
    <w:rsid w:val="006B2456"/>
    <w:rsid w:val="006B2FF7"/>
    <w:rsid w:val="006B5FF9"/>
    <w:rsid w:val="006C2A23"/>
    <w:rsid w:val="006C3710"/>
    <w:rsid w:val="006C4299"/>
    <w:rsid w:val="006C43C2"/>
    <w:rsid w:val="006C4EA8"/>
    <w:rsid w:val="006C525D"/>
    <w:rsid w:val="006C7663"/>
    <w:rsid w:val="006C7DCD"/>
    <w:rsid w:val="006D0605"/>
    <w:rsid w:val="006D14F5"/>
    <w:rsid w:val="006D31F2"/>
    <w:rsid w:val="006E0077"/>
    <w:rsid w:val="006E3282"/>
    <w:rsid w:val="006E34F8"/>
    <w:rsid w:val="006E5306"/>
    <w:rsid w:val="006E572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588A"/>
    <w:rsid w:val="0070695A"/>
    <w:rsid w:val="00706BBD"/>
    <w:rsid w:val="00706DA2"/>
    <w:rsid w:val="007071C3"/>
    <w:rsid w:val="0070789D"/>
    <w:rsid w:val="00707DFB"/>
    <w:rsid w:val="00710F8F"/>
    <w:rsid w:val="007110B4"/>
    <w:rsid w:val="00711D3F"/>
    <w:rsid w:val="007127E2"/>
    <w:rsid w:val="00712CBB"/>
    <w:rsid w:val="00713604"/>
    <w:rsid w:val="00717F20"/>
    <w:rsid w:val="0072118C"/>
    <w:rsid w:val="00724192"/>
    <w:rsid w:val="00724A36"/>
    <w:rsid w:val="00724CAB"/>
    <w:rsid w:val="0072558B"/>
    <w:rsid w:val="0072593B"/>
    <w:rsid w:val="00726810"/>
    <w:rsid w:val="0072711C"/>
    <w:rsid w:val="00730E4C"/>
    <w:rsid w:val="00731BD5"/>
    <w:rsid w:val="0073208B"/>
    <w:rsid w:val="00734046"/>
    <w:rsid w:val="007353E7"/>
    <w:rsid w:val="007357B3"/>
    <w:rsid w:val="0073606D"/>
    <w:rsid w:val="00736909"/>
    <w:rsid w:val="007374C2"/>
    <w:rsid w:val="007444E8"/>
    <w:rsid w:val="00746E54"/>
    <w:rsid w:val="00750C9C"/>
    <w:rsid w:val="00750E3D"/>
    <w:rsid w:val="00751646"/>
    <w:rsid w:val="00751A0A"/>
    <w:rsid w:val="00754CE0"/>
    <w:rsid w:val="00755976"/>
    <w:rsid w:val="00755F42"/>
    <w:rsid w:val="00756142"/>
    <w:rsid w:val="00756747"/>
    <w:rsid w:val="007569C9"/>
    <w:rsid w:val="00762C27"/>
    <w:rsid w:val="00764310"/>
    <w:rsid w:val="00767AC5"/>
    <w:rsid w:val="00770086"/>
    <w:rsid w:val="00770EDF"/>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07"/>
    <w:rsid w:val="007A0558"/>
    <w:rsid w:val="007A2371"/>
    <w:rsid w:val="007A4381"/>
    <w:rsid w:val="007A4538"/>
    <w:rsid w:val="007A45F6"/>
    <w:rsid w:val="007A4B3C"/>
    <w:rsid w:val="007A5442"/>
    <w:rsid w:val="007A54E3"/>
    <w:rsid w:val="007A7360"/>
    <w:rsid w:val="007B18E5"/>
    <w:rsid w:val="007B2265"/>
    <w:rsid w:val="007B22BD"/>
    <w:rsid w:val="007B36E6"/>
    <w:rsid w:val="007B4831"/>
    <w:rsid w:val="007B4CF3"/>
    <w:rsid w:val="007B53BB"/>
    <w:rsid w:val="007B65A2"/>
    <w:rsid w:val="007B7E78"/>
    <w:rsid w:val="007C0B75"/>
    <w:rsid w:val="007C1F59"/>
    <w:rsid w:val="007C25B6"/>
    <w:rsid w:val="007C5185"/>
    <w:rsid w:val="007C7A9E"/>
    <w:rsid w:val="007D010F"/>
    <w:rsid w:val="007D2A0C"/>
    <w:rsid w:val="007D2E85"/>
    <w:rsid w:val="007D4EE7"/>
    <w:rsid w:val="007D52CF"/>
    <w:rsid w:val="007D53C4"/>
    <w:rsid w:val="007E15F2"/>
    <w:rsid w:val="007E3FF7"/>
    <w:rsid w:val="007E69DF"/>
    <w:rsid w:val="007F19A8"/>
    <w:rsid w:val="007F2222"/>
    <w:rsid w:val="007F2EF2"/>
    <w:rsid w:val="007F5C94"/>
    <w:rsid w:val="007F5E8A"/>
    <w:rsid w:val="008020B0"/>
    <w:rsid w:val="00803197"/>
    <w:rsid w:val="008033F2"/>
    <w:rsid w:val="00806989"/>
    <w:rsid w:val="00807C18"/>
    <w:rsid w:val="00810009"/>
    <w:rsid w:val="008113BF"/>
    <w:rsid w:val="008120A9"/>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27657"/>
    <w:rsid w:val="00827E8E"/>
    <w:rsid w:val="0083054A"/>
    <w:rsid w:val="008317AD"/>
    <w:rsid w:val="00832038"/>
    <w:rsid w:val="00833C7E"/>
    <w:rsid w:val="008459E9"/>
    <w:rsid w:val="008461CC"/>
    <w:rsid w:val="00846BDE"/>
    <w:rsid w:val="00851112"/>
    <w:rsid w:val="00851148"/>
    <w:rsid w:val="00851581"/>
    <w:rsid w:val="00851C26"/>
    <w:rsid w:val="0085359F"/>
    <w:rsid w:val="00854DCC"/>
    <w:rsid w:val="00856E0E"/>
    <w:rsid w:val="0086010B"/>
    <w:rsid w:val="008603FF"/>
    <w:rsid w:val="0086044A"/>
    <w:rsid w:val="00860557"/>
    <w:rsid w:val="008616A5"/>
    <w:rsid w:val="00861A1D"/>
    <w:rsid w:val="00862FBD"/>
    <w:rsid w:val="0086753E"/>
    <w:rsid w:val="008709CC"/>
    <w:rsid w:val="00872AD9"/>
    <w:rsid w:val="008740E4"/>
    <w:rsid w:val="00874114"/>
    <w:rsid w:val="00877AB2"/>
    <w:rsid w:val="00880218"/>
    <w:rsid w:val="008808A5"/>
    <w:rsid w:val="00883295"/>
    <w:rsid w:val="00883EA8"/>
    <w:rsid w:val="0088447A"/>
    <w:rsid w:val="00885183"/>
    <w:rsid w:val="00887D9E"/>
    <w:rsid w:val="008900E3"/>
    <w:rsid w:val="00891514"/>
    <w:rsid w:val="008A0C66"/>
    <w:rsid w:val="008A1427"/>
    <w:rsid w:val="008A3BC9"/>
    <w:rsid w:val="008A4630"/>
    <w:rsid w:val="008A72E8"/>
    <w:rsid w:val="008A7E52"/>
    <w:rsid w:val="008B164B"/>
    <w:rsid w:val="008B40D5"/>
    <w:rsid w:val="008B4266"/>
    <w:rsid w:val="008B51D8"/>
    <w:rsid w:val="008B753A"/>
    <w:rsid w:val="008C0286"/>
    <w:rsid w:val="008C064D"/>
    <w:rsid w:val="008C193A"/>
    <w:rsid w:val="008C20E5"/>
    <w:rsid w:val="008C22A6"/>
    <w:rsid w:val="008C22C2"/>
    <w:rsid w:val="008C47AA"/>
    <w:rsid w:val="008C613D"/>
    <w:rsid w:val="008C7463"/>
    <w:rsid w:val="008C756B"/>
    <w:rsid w:val="008C7A72"/>
    <w:rsid w:val="008C7AEB"/>
    <w:rsid w:val="008C7BA0"/>
    <w:rsid w:val="008D15A7"/>
    <w:rsid w:val="008D2737"/>
    <w:rsid w:val="008D2E9E"/>
    <w:rsid w:val="008D4596"/>
    <w:rsid w:val="008D45CC"/>
    <w:rsid w:val="008D4B49"/>
    <w:rsid w:val="008D540C"/>
    <w:rsid w:val="008D6187"/>
    <w:rsid w:val="008D65C0"/>
    <w:rsid w:val="008D7336"/>
    <w:rsid w:val="008D78CE"/>
    <w:rsid w:val="008E0032"/>
    <w:rsid w:val="008E0EB9"/>
    <w:rsid w:val="008E133E"/>
    <w:rsid w:val="008E6905"/>
    <w:rsid w:val="008F1895"/>
    <w:rsid w:val="008F18DB"/>
    <w:rsid w:val="008F1AA3"/>
    <w:rsid w:val="008F3943"/>
    <w:rsid w:val="008F3DA2"/>
    <w:rsid w:val="008F40D6"/>
    <w:rsid w:val="008F485B"/>
    <w:rsid w:val="008F4B19"/>
    <w:rsid w:val="008F5302"/>
    <w:rsid w:val="008F752F"/>
    <w:rsid w:val="009007A0"/>
    <w:rsid w:val="00906698"/>
    <w:rsid w:val="00907D9D"/>
    <w:rsid w:val="00915BC0"/>
    <w:rsid w:val="009168B6"/>
    <w:rsid w:val="00917772"/>
    <w:rsid w:val="00917AC0"/>
    <w:rsid w:val="00920A86"/>
    <w:rsid w:val="00924456"/>
    <w:rsid w:val="009248D5"/>
    <w:rsid w:val="0092498C"/>
    <w:rsid w:val="009251E4"/>
    <w:rsid w:val="00925ED6"/>
    <w:rsid w:val="009314B7"/>
    <w:rsid w:val="00931B64"/>
    <w:rsid w:val="00931CC3"/>
    <w:rsid w:val="009344C0"/>
    <w:rsid w:val="009344ED"/>
    <w:rsid w:val="00934A32"/>
    <w:rsid w:val="009353AB"/>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0E20"/>
    <w:rsid w:val="009738A5"/>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422"/>
    <w:rsid w:val="0099669C"/>
    <w:rsid w:val="009969BF"/>
    <w:rsid w:val="0099706E"/>
    <w:rsid w:val="009A0280"/>
    <w:rsid w:val="009A4BB3"/>
    <w:rsid w:val="009A4EBD"/>
    <w:rsid w:val="009A50A2"/>
    <w:rsid w:val="009A51FA"/>
    <w:rsid w:val="009A52C2"/>
    <w:rsid w:val="009A5782"/>
    <w:rsid w:val="009A60EE"/>
    <w:rsid w:val="009A647C"/>
    <w:rsid w:val="009A667F"/>
    <w:rsid w:val="009A6807"/>
    <w:rsid w:val="009A6A66"/>
    <w:rsid w:val="009A751D"/>
    <w:rsid w:val="009B23BC"/>
    <w:rsid w:val="009B2D98"/>
    <w:rsid w:val="009B370B"/>
    <w:rsid w:val="009B45BF"/>
    <w:rsid w:val="009B49F2"/>
    <w:rsid w:val="009C35C7"/>
    <w:rsid w:val="009C3E60"/>
    <w:rsid w:val="009C3F2A"/>
    <w:rsid w:val="009C4669"/>
    <w:rsid w:val="009C56FF"/>
    <w:rsid w:val="009C725A"/>
    <w:rsid w:val="009D054E"/>
    <w:rsid w:val="009D39C2"/>
    <w:rsid w:val="009D5FB2"/>
    <w:rsid w:val="009D699E"/>
    <w:rsid w:val="009E131A"/>
    <w:rsid w:val="009E27BA"/>
    <w:rsid w:val="009E3D3C"/>
    <w:rsid w:val="009E4A40"/>
    <w:rsid w:val="009E5A35"/>
    <w:rsid w:val="009E5BAD"/>
    <w:rsid w:val="009E621A"/>
    <w:rsid w:val="009E6FD8"/>
    <w:rsid w:val="009F093A"/>
    <w:rsid w:val="009F550C"/>
    <w:rsid w:val="00A01230"/>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1F52"/>
    <w:rsid w:val="00A22369"/>
    <w:rsid w:val="00A22F42"/>
    <w:rsid w:val="00A231CB"/>
    <w:rsid w:val="00A24F0A"/>
    <w:rsid w:val="00A2569C"/>
    <w:rsid w:val="00A27A13"/>
    <w:rsid w:val="00A30F59"/>
    <w:rsid w:val="00A3172F"/>
    <w:rsid w:val="00A31D64"/>
    <w:rsid w:val="00A31EBC"/>
    <w:rsid w:val="00A34EB8"/>
    <w:rsid w:val="00A3578F"/>
    <w:rsid w:val="00A35C28"/>
    <w:rsid w:val="00A35F9C"/>
    <w:rsid w:val="00A40925"/>
    <w:rsid w:val="00A43B07"/>
    <w:rsid w:val="00A5171B"/>
    <w:rsid w:val="00A51DBE"/>
    <w:rsid w:val="00A52EFA"/>
    <w:rsid w:val="00A5380C"/>
    <w:rsid w:val="00A62B09"/>
    <w:rsid w:val="00A6328F"/>
    <w:rsid w:val="00A647FC"/>
    <w:rsid w:val="00A65044"/>
    <w:rsid w:val="00A659BE"/>
    <w:rsid w:val="00A66317"/>
    <w:rsid w:val="00A67DDA"/>
    <w:rsid w:val="00A67E02"/>
    <w:rsid w:val="00A73502"/>
    <w:rsid w:val="00A77328"/>
    <w:rsid w:val="00A77E08"/>
    <w:rsid w:val="00A80213"/>
    <w:rsid w:val="00A82BFB"/>
    <w:rsid w:val="00A873FD"/>
    <w:rsid w:val="00A901A8"/>
    <w:rsid w:val="00A90EB1"/>
    <w:rsid w:val="00A912F9"/>
    <w:rsid w:val="00A923A8"/>
    <w:rsid w:val="00A92ACE"/>
    <w:rsid w:val="00A94A29"/>
    <w:rsid w:val="00A96C14"/>
    <w:rsid w:val="00A970E9"/>
    <w:rsid w:val="00AA0516"/>
    <w:rsid w:val="00AA4571"/>
    <w:rsid w:val="00AA47D0"/>
    <w:rsid w:val="00AA4C98"/>
    <w:rsid w:val="00AA4E2A"/>
    <w:rsid w:val="00AA5819"/>
    <w:rsid w:val="00AA6BC0"/>
    <w:rsid w:val="00AA6F2E"/>
    <w:rsid w:val="00AA7194"/>
    <w:rsid w:val="00AA7DE9"/>
    <w:rsid w:val="00AB0B69"/>
    <w:rsid w:val="00AB10D5"/>
    <w:rsid w:val="00AB1317"/>
    <w:rsid w:val="00AB2567"/>
    <w:rsid w:val="00AB2998"/>
    <w:rsid w:val="00AB2E21"/>
    <w:rsid w:val="00AB3755"/>
    <w:rsid w:val="00AB436F"/>
    <w:rsid w:val="00AB4901"/>
    <w:rsid w:val="00AB52E3"/>
    <w:rsid w:val="00AB5922"/>
    <w:rsid w:val="00AB59D3"/>
    <w:rsid w:val="00AB6887"/>
    <w:rsid w:val="00AB7347"/>
    <w:rsid w:val="00AB73E5"/>
    <w:rsid w:val="00AB7A52"/>
    <w:rsid w:val="00AC06BF"/>
    <w:rsid w:val="00AC16D7"/>
    <w:rsid w:val="00AC1C82"/>
    <w:rsid w:val="00AC2617"/>
    <w:rsid w:val="00AC2F8D"/>
    <w:rsid w:val="00AC417E"/>
    <w:rsid w:val="00AC471F"/>
    <w:rsid w:val="00AC4EF5"/>
    <w:rsid w:val="00AC53E1"/>
    <w:rsid w:val="00AC6323"/>
    <w:rsid w:val="00AC6A88"/>
    <w:rsid w:val="00AC7D08"/>
    <w:rsid w:val="00AC7EB4"/>
    <w:rsid w:val="00AD01AD"/>
    <w:rsid w:val="00AD0794"/>
    <w:rsid w:val="00AD1F7E"/>
    <w:rsid w:val="00AD23B6"/>
    <w:rsid w:val="00AD43D4"/>
    <w:rsid w:val="00AD4E45"/>
    <w:rsid w:val="00AD7356"/>
    <w:rsid w:val="00AE0869"/>
    <w:rsid w:val="00AE2BF4"/>
    <w:rsid w:val="00AE3076"/>
    <w:rsid w:val="00AE3E8A"/>
    <w:rsid w:val="00AE4DA1"/>
    <w:rsid w:val="00AE555D"/>
    <w:rsid w:val="00AE616F"/>
    <w:rsid w:val="00AE628E"/>
    <w:rsid w:val="00AE757A"/>
    <w:rsid w:val="00AE7B1A"/>
    <w:rsid w:val="00AF12C3"/>
    <w:rsid w:val="00AF43D0"/>
    <w:rsid w:val="00AF4D72"/>
    <w:rsid w:val="00AF5A23"/>
    <w:rsid w:val="00AF5C24"/>
    <w:rsid w:val="00AF73A0"/>
    <w:rsid w:val="00AF79D3"/>
    <w:rsid w:val="00B00625"/>
    <w:rsid w:val="00B01F56"/>
    <w:rsid w:val="00B02A4D"/>
    <w:rsid w:val="00B05191"/>
    <w:rsid w:val="00B05D93"/>
    <w:rsid w:val="00B0617A"/>
    <w:rsid w:val="00B06772"/>
    <w:rsid w:val="00B1339C"/>
    <w:rsid w:val="00B14C38"/>
    <w:rsid w:val="00B15A2C"/>
    <w:rsid w:val="00B17CDC"/>
    <w:rsid w:val="00B20952"/>
    <w:rsid w:val="00B23937"/>
    <w:rsid w:val="00B23B35"/>
    <w:rsid w:val="00B26434"/>
    <w:rsid w:val="00B26BDB"/>
    <w:rsid w:val="00B32E76"/>
    <w:rsid w:val="00B348EB"/>
    <w:rsid w:val="00B351F4"/>
    <w:rsid w:val="00B357EB"/>
    <w:rsid w:val="00B371C8"/>
    <w:rsid w:val="00B40A2C"/>
    <w:rsid w:val="00B41E2C"/>
    <w:rsid w:val="00B43893"/>
    <w:rsid w:val="00B441CD"/>
    <w:rsid w:val="00B44388"/>
    <w:rsid w:val="00B4720B"/>
    <w:rsid w:val="00B47933"/>
    <w:rsid w:val="00B506F9"/>
    <w:rsid w:val="00B51F27"/>
    <w:rsid w:val="00B53DB9"/>
    <w:rsid w:val="00B56E73"/>
    <w:rsid w:val="00B57A95"/>
    <w:rsid w:val="00B620CD"/>
    <w:rsid w:val="00B65A8B"/>
    <w:rsid w:val="00B66AE4"/>
    <w:rsid w:val="00B66FE6"/>
    <w:rsid w:val="00B72FDE"/>
    <w:rsid w:val="00B73471"/>
    <w:rsid w:val="00B74BB1"/>
    <w:rsid w:val="00B75137"/>
    <w:rsid w:val="00B76072"/>
    <w:rsid w:val="00B7775A"/>
    <w:rsid w:val="00B803AA"/>
    <w:rsid w:val="00B82008"/>
    <w:rsid w:val="00B84222"/>
    <w:rsid w:val="00B84896"/>
    <w:rsid w:val="00B85C0E"/>
    <w:rsid w:val="00B86501"/>
    <w:rsid w:val="00B871FC"/>
    <w:rsid w:val="00B87678"/>
    <w:rsid w:val="00B92B9A"/>
    <w:rsid w:val="00B94572"/>
    <w:rsid w:val="00B95CED"/>
    <w:rsid w:val="00B96F93"/>
    <w:rsid w:val="00BA160F"/>
    <w:rsid w:val="00BA162C"/>
    <w:rsid w:val="00BA2137"/>
    <w:rsid w:val="00BA49D8"/>
    <w:rsid w:val="00BA6E3A"/>
    <w:rsid w:val="00BA7FC4"/>
    <w:rsid w:val="00BB0DFD"/>
    <w:rsid w:val="00BB122B"/>
    <w:rsid w:val="00BB333C"/>
    <w:rsid w:val="00BB34BD"/>
    <w:rsid w:val="00BB62F9"/>
    <w:rsid w:val="00BB717B"/>
    <w:rsid w:val="00BB7480"/>
    <w:rsid w:val="00BC0E71"/>
    <w:rsid w:val="00BC5299"/>
    <w:rsid w:val="00BC542D"/>
    <w:rsid w:val="00BC55D0"/>
    <w:rsid w:val="00BC5705"/>
    <w:rsid w:val="00BC590F"/>
    <w:rsid w:val="00BC73A3"/>
    <w:rsid w:val="00BC7CCC"/>
    <w:rsid w:val="00BD1AFF"/>
    <w:rsid w:val="00BD38D1"/>
    <w:rsid w:val="00BD4322"/>
    <w:rsid w:val="00BD48E1"/>
    <w:rsid w:val="00BD685E"/>
    <w:rsid w:val="00BD75A0"/>
    <w:rsid w:val="00BE101A"/>
    <w:rsid w:val="00BE2251"/>
    <w:rsid w:val="00BE2367"/>
    <w:rsid w:val="00BF0752"/>
    <w:rsid w:val="00BF1261"/>
    <w:rsid w:val="00BF138B"/>
    <w:rsid w:val="00BF2102"/>
    <w:rsid w:val="00BF334C"/>
    <w:rsid w:val="00BF67E2"/>
    <w:rsid w:val="00BF7C0A"/>
    <w:rsid w:val="00C02EC3"/>
    <w:rsid w:val="00C038AE"/>
    <w:rsid w:val="00C06420"/>
    <w:rsid w:val="00C10B34"/>
    <w:rsid w:val="00C11A8A"/>
    <w:rsid w:val="00C12087"/>
    <w:rsid w:val="00C1484C"/>
    <w:rsid w:val="00C15385"/>
    <w:rsid w:val="00C173DF"/>
    <w:rsid w:val="00C1761C"/>
    <w:rsid w:val="00C2068E"/>
    <w:rsid w:val="00C21DF7"/>
    <w:rsid w:val="00C2245F"/>
    <w:rsid w:val="00C26DC9"/>
    <w:rsid w:val="00C303AD"/>
    <w:rsid w:val="00C3067E"/>
    <w:rsid w:val="00C32E76"/>
    <w:rsid w:val="00C34F98"/>
    <w:rsid w:val="00C36986"/>
    <w:rsid w:val="00C37E41"/>
    <w:rsid w:val="00C43756"/>
    <w:rsid w:val="00C449BE"/>
    <w:rsid w:val="00C45146"/>
    <w:rsid w:val="00C45812"/>
    <w:rsid w:val="00C45AA9"/>
    <w:rsid w:val="00C477BD"/>
    <w:rsid w:val="00C51EC1"/>
    <w:rsid w:val="00C53CC0"/>
    <w:rsid w:val="00C54595"/>
    <w:rsid w:val="00C558D0"/>
    <w:rsid w:val="00C57C6F"/>
    <w:rsid w:val="00C57F19"/>
    <w:rsid w:val="00C60EB3"/>
    <w:rsid w:val="00C61C3F"/>
    <w:rsid w:val="00C64569"/>
    <w:rsid w:val="00C66827"/>
    <w:rsid w:val="00C70103"/>
    <w:rsid w:val="00C713C7"/>
    <w:rsid w:val="00C71ABC"/>
    <w:rsid w:val="00C72E60"/>
    <w:rsid w:val="00C748E4"/>
    <w:rsid w:val="00C755DA"/>
    <w:rsid w:val="00C770B8"/>
    <w:rsid w:val="00C77737"/>
    <w:rsid w:val="00C80151"/>
    <w:rsid w:val="00C805CF"/>
    <w:rsid w:val="00C840AF"/>
    <w:rsid w:val="00C853F7"/>
    <w:rsid w:val="00C87A5C"/>
    <w:rsid w:val="00C904B1"/>
    <w:rsid w:val="00C91ADC"/>
    <w:rsid w:val="00C940BC"/>
    <w:rsid w:val="00C950BE"/>
    <w:rsid w:val="00C951A1"/>
    <w:rsid w:val="00C959D3"/>
    <w:rsid w:val="00C96322"/>
    <w:rsid w:val="00C97F85"/>
    <w:rsid w:val="00CA0338"/>
    <w:rsid w:val="00CA0413"/>
    <w:rsid w:val="00CA08A0"/>
    <w:rsid w:val="00CA4F11"/>
    <w:rsid w:val="00CA782E"/>
    <w:rsid w:val="00CB011F"/>
    <w:rsid w:val="00CB19F9"/>
    <w:rsid w:val="00CB31A5"/>
    <w:rsid w:val="00CB369A"/>
    <w:rsid w:val="00CB4BEC"/>
    <w:rsid w:val="00CB58B0"/>
    <w:rsid w:val="00CB65E7"/>
    <w:rsid w:val="00CB7280"/>
    <w:rsid w:val="00CB76D8"/>
    <w:rsid w:val="00CB794C"/>
    <w:rsid w:val="00CC396A"/>
    <w:rsid w:val="00CC54AF"/>
    <w:rsid w:val="00CC6036"/>
    <w:rsid w:val="00CC679F"/>
    <w:rsid w:val="00CC7713"/>
    <w:rsid w:val="00CC78AC"/>
    <w:rsid w:val="00CC7AAA"/>
    <w:rsid w:val="00CD0374"/>
    <w:rsid w:val="00CD0BC0"/>
    <w:rsid w:val="00CD2E5F"/>
    <w:rsid w:val="00CD64D8"/>
    <w:rsid w:val="00CE0AF2"/>
    <w:rsid w:val="00CE1597"/>
    <w:rsid w:val="00CE1AF2"/>
    <w:rsid w:val="00CE1D11"/>
    <w:rsid w:val="00CE3690"/>
    <w:rsid w:val="00CE4CEF"/>
    <w:rsid w:val="00CE5C1E"/>
    <w:rsid w:val="00CE70DF"/>
    <w:rsid w:val="00CF11B1"/>
    <w:rsid w:val="00CF5134"/>
    <w:rsid w:val="00D0226E"/>
    <w:rsid w:val="00D03D65"/>
    <w:rsid w:val="00D04708"/>
    <w:rsid w:val="00D055BC"/>
    <w:rsid w:val="00D068FF"/>
    <w:rsid w:val="00D06AB9"/>
    <w:rsid w:val="00D104B4"/>
    <w:rsid w:val="00D11244"/>
    <w:rsid w:val="00D146BB"/>
    <w:rsid w:val="00D17F69"/>
    <w:rsid w:val="00D20A19"/>
    <w:rsid w:val="00D219DA"/>
    <w:rsid w:val="00D21C6B"/>
    <w:rsid w:val="00D23EF8"/>
    <w:rsid w:val="00D25685"/>
    <w:rsid w:val="00D26E54"/>
    <w:rsid w:val="00D3012A"/>
    <w:rsid w:val="00D30EB7"/>
    <w:rsid w:val="00D31247"/>
    <w:rsid w:val="00D32E50"/>
    <w:rsid w:val="00D358FF"/>
    <w:rsid w:val="00D374CD"/>
    <w:rsid w:val="00D40BF9"/>
    <w:rsid w:val="00D40DCB"/>
    <w:rsid w:val="00D42A0A"/>
    <w:rsid w:val="00D4387A"/>
    <w:rsid w:val="00D46586"/>
    <w:rsid w:val="00D521C6"/>
    <w:rsid w:val="00D53106"/>
    <w:rsid w:val="00D53212"/>
    <w:rsid w:val="00D545FB"/>
    <w:rsid w:val="00D55E2B"/>
    <w:rsid w:val="00D56079"/>
    <w:rsid w:val="00D56388"/>
    <w:rsid w:val="00D5702D"/>
    <w:rsid w:val="00D610E6"/>
    <w:rsid w:val="00D6133E"/>
    <w:rsid w:val="00D614D7"/>
    <w:rsid w:val="00D63354"/>
    <w:rsid w:val="00D63786"/>
    <w:rsid w:val="00D63976"/>
    <w:rsid w:val="00D6399F"/>
    <w:rsid w:val="00D65871"/>
    <w:rsid w:val="00D670A3"/>
    <w:rsid w:val="00D721EA"/>
    <w:rsid w:val="00D74F07"/>
    <w:rsid w:val="00D77959"/>
    <w:rsid w:val="00D77B0B"/>
    <w:rsid w:val="00D81509"/>
    <w:rsid w:val="00D8625D"/>
    <w:rsid w:val="00D8765B"/>
    <w:rsid w:val="00D973BC"/>
    <w:rsid w:val="00DA0801"/>
    <w:rsid w:val="00DA1655"/>
    <w:rsid w:val="00DA195E"/>
    <w:rsid w:val="00DA2A40"/>
    <w:rsid w:val="00DA32AC"/>
    <w:rsid w:val="00DA3E82"/>
    <w:rsid w:val="00DA4205"/>
    <w:rsid w:val="00DA58F8"/>
    <w:rsid w:val="00DA5EF4"/>
    <w:rsid w:val="00DA7807"/>
    <w:rsid w:val="00DB0820"/>
    <w:rsid w:val="00DB2F72"/>
    <w:rsid w:val="00DB4B2F"/>
    <w:rsid w:val="00DB6D2E"/>
    <w:rsid w:val="00DB719D"/>
    <w:rsid w:val="00DB7613"/>
    <w:rsid w:val="00DC0451"/>
    <w:rsid w:val="00DC33B9"/>
    <w:rsid w:val="00DC5F37"/>
    <w:rsid w:val="00DD00DC"/>
    <w:rsid w:val="00DD11A9"/>
    <w:rsid w:val="00DD3FA9"/>
    <w:rsid w:val="00DD604A"/>
    <w:rsid w:val="00DE2BE1"/>
    <w:rsid w:val="00DE3412"/>
    <w:rsid w:val="00DE40E0"/>
    <w:rsid w:val="00DE41C6"/>
    <w:rsid w:val="00DE49A7"/>
    <w:rsid w:val="00DE4D69"/>
    <w:rsid w:val="00DE6094"/>
    <w:rsid w:val="00DE7EAC"/>
    <w:rsid w:val="00DF09FB"/>
    <w:rsid w:val="00DF1797"/>
    <w:rsid w:val="00DF3C16"/>
    <w:rsid w:val="00DF3EA0"/>
    <w:rsid w:val="00DF417F"/>
    <w:rsid w:val="00DF4B74"/>
    <w:rsid w:val="00DF4BF1"/>
    <w:rsid w:val="00DF7B75"/>
    <w:rsid w:val="00E02796"/>
    <w:rsid w:val="00E02AED"/>
    <w:rsid w:val="00E02B9F"/>
    <w:rsid w:val="00E02DD4"/>
    <w:rsid w:val="00E0359C"/>
    <w:rsid w:val="00E03CAE"/>
    <w:rsid w:val="00E046AB"/>
    <w:rsid w:val="00E04E11"/>
    <w:rsid w:val="00E05BC1"/>
    <w:rsid w:val="00E11C57"/>
    <w:rsid w:val="00E124BF"/>
    <w:rsid w:val="00E13464"/>
    <w:rsid w:val="00E13D08"/>
    <w:rsid w:val="00E14173"/>
    <w:rsid w:val="00E16423"/>
    <w:rsid w:val="00E17835"/>
    <w:rsid w:val="00E21019"/>
    <w:rsid w:val="00E21057"/>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3B"/>
    <w:rsid w:val="00E40581"/>
    <w:rsid w:val="00E4202A"/>
    <w:rsid w:val="00E438A0"/>
    <w:rsid w:val="00E443A5"/>
    <w:rsid w:val="00E451D6"/>
    <w:rsid w:val="00E463C8"/>
    <w:rsid w:val="00E47787"/>
    <w:rsid w:val="00E47F9B"/>
    <w:rsid w:val="00E51157"/>
    <w:rsid w:val="00E535EB"/>
    <w:rsid w:val="00E55C85"/>
    <w:rsid w:val="00E56A2B"/>
    <w:rsid w:val="00E56E19"/>
    <w:rsid w:val="00E5710E"/>
    <w:rsid w:val="00E57B75"/>
    <w:rsid w:val="00E602E1"/>
    <w:rsid w:val="00E61062"/>
    <w:rsid w:val="00E620EC"/>
    <w:rsid w:val="00E67005"/>
    <w:rsid w:val="00E6776A"/>
    <w:rsid w:val="00E70C16"/>
    <w:rsid w:val="00E72FCA"/>
    <w:rsid w:val="00E74735"/>
    <w:rsid w:val="00E76096"/>
    <w:rsid w:val="00E76119"/>
    <w:rsid w:val="00E76569"/>
    <w:rsid w:val="00E76A71"/>
    <w:rsid w:val="00E779F0"/>
    <w:rsid w:val="00E77A65"/>
    <w:rsid w:val="00E80154"/>
    <w:rsid w:val="00E80575"/>
    <w:rsid w:val="00E815D3"/>
    <w:rsid w:val="00E85044"/>
    <w:rsid w:val="00E851AE"/>
    <w:rsid w:val="00E85260"/>
    <w:rsid w:val="00E87D8F"/>
    <w:rsid w:val="00E87E25"/>
    <w:rsid w:val="00E9122E"/>
    <w:rsid w:val="00E93A24"/>
    <w:rsid w:val="00E940A7"/>
    <w:rsid w:val="00E955E4"/>
    <w:rsid w:val="00E958CC"/>
    <w:rsid w:val="00E96B75"/>
    <w:rsid w:val="00E9799B"/>
    <w:rsid w:val="00EA002D"/>
    <w:rsid w:val="00EA0149"/>
    <w:rsid w:val="00EA0ADE"/>
    <w:rsid w:val="00EA1DBA"/>
    <w:rsid w:val="00EA30F1"/>
    <w:rsid w:val="00EA35A2"/>
    <w:rsid w:val="00EA3B2F"/>
    <w:rsid w:val="00EA6D39"/>
    <w:rsid w:val="00EB0286"/>
    <w:rsid w:val="00EB0F7F"/>
    <w:rsid w:val="00EB47C6"/>
    <w:rsid w:val="00EB6407"/>
    <w:rsid w:val="00EB6D3C"/>
    <w:rsid w:val="00EB7236"/>
    <w:rsid w:val="00EC0787"/>
    <w:rsid w:val="00EC1ABF"/>
    <w:rsid w:val="00EC23AB"/>
    <w:rsid w:val="00EC2900"/>
    <w:rsid w:val="00EC3630"/>
    <w:rsid w:val="00EC3E91"/>
    <w:rsid w:val="00EC7976"/>
    <w:rsid w:val="00EC7AF9"/>
    <w:rsid w:val="00EC7D3D"/>
    <w:rsid w:val="00ED1130"/>
    <w:rsid w:val="00ED236D"/>
    <w:rsid w:val="00ED449E"/>
    <w:rsid w:val="00ED45E4"/>
    <w:rsid w:val="00ED4D6B"/>
    <w:rsid w:val="00ED5E9D"/>
    <w:rsid w:val="00ED6C51"/>
    <w:rsid w:val="00ED73B4"/>
    <w:rsid w:val="00EE1870"/>
    <w:rsid w:val="00EE2AF3"/>
    <w:rsid w:val="00EE2AFD"/>
    <w:rsid w:val="00EE2B7E"/>
    <w:rsid w:val="00EE365F"/>
    <w:rsid w:val="00EE563A"/>
    <w:rsid w:val="00EE5D95"/>
    <w:rsid w:val="00EF0C2F"/>
    <w:rsid w:val="00EF2C6B"/>
    <w:rsid w:val="00EF4F39"/>
    <w:rsid w:val="00F013A5"/>
    <w:rsid w:val="00F021D7"/>
    <w:rsid w:val="00F02E20"/>
    <w:rsid w:val="00F02F85"/>
    <w:rsid w:val="00F044D7"/>
    <w:rsid w:val="00F0578F"/>
    <w:rsid w:val="00F05C1B"/>
    <w:rsid w:val="00F104B3"/>
    <w:rsid w:val="00F106FC"/>
    <w:rsid w:val="00F10C31"/>
    <w:rsid w:val="00F10FD4"/>
    <w:rsid w:val="00F11102"/>
    <w:rsid w:val="00F13E1F"/>
    <w:rsid w:val="00F14CAF"/>
    <w:rsid w:val="00F20A65"/>
    <w:rsid w:val="00F21986"/>
    <w:rsid w:val="00F222A4"/>
    <w:rsid w:val="00F2373B"/>
    <w:rsid w:val="00F23E2C"/>
    <w:rsid w:val="00F2438B"/>
    <w:rsid w:val="00F2449A"/>
    <w:rsid w:val="00F2742E"/>
    <w:rsid w:val="00F30953"/>
    <w:rsid w:val="00F32ED9"/>
    <w:rsid w:val="00F33CE3"/>
    <w:rsid w:val="00F342F4"/>
    <w:rsid w:val="00F34F1E"/>
    <w:rsid w:val="00F36177"/>
    <w:rsid w:val="00F36A36"/>
    <w:rsid w:val="00F375AB"/>
    <w:rsid w:val="00F3777D"/>
    <w:rsid w:val="00F404F0"/>
    <w:rsid w:val="00F40A28"/>
    <w:rsid w:val="00F41381"/>
    <w:rsid w:val="00F4183F"/>
    <w:rsid w:val="00F42712"/>
    <w:rsid w:val="00F44B94"/>
    <w:rsid w:val="00F44EFC"/>
    <w:rsid w:val="00F4549B"/>
    <w:rsid w:val="00F506EA"/>
    <w:rsid w:val="00F52B50"/>
    <w:rsid w:val="00F53E67"/>
    <w:rsid w:val="00F551CB"/>
    <w:rsid w:val="00F553CE"/>
    <w:rsid w:val="00F55B15"/>
    <w:rsid w:val="00F56B5A"/>
    <w:rsid w:val="00F615F9"/>
    <w:rsid w:val="00F62CF8"/>
    <w:rsid w:val="00F63F93"/>
    <w:rsid w:val="00F641DF"/>
    <w:rsid w:val="00F65179"/>
    <w:rsid w:val="00F67F91"/>
    <w:rsid w:val="00F70EA5"/>
    <w:rsid w:val="00F71E19"/>
    <w:rsid w:val="00F72931"/>
    <w:rsid w:val="00F76E9C"/>
    <w:rsid w:val="00F77DC4"/>
    <w:rsid w:val="00F81A17"/>
    <w:rsid w:val="00F82C37"/>
    <w:rsid w:val="00F830B6"/>
    <w:rsid w:val="00F83E0F"/>
    <w:rsid w:val="00F84E90"/>
    <w:rsid w:val="00F85FE1"/>
    <w:rsid w:val="00F92A4E"/>
    <w:rsid w:val="00F93917"/>
    <w:rsid w:val="00F943B3"/>
    <w:rsid w:val="00F9549D"/>
    <w:rsid w:val="00F961F8"/>
    <w:rsid w:val="00F96B22"/>
    <w:rsid w:val="00FA02F2"/>
    <w:rsid w:val="00FA0B76"/>
    <w:rsid w:val="00FA3F1A"/>
    <w:rsid w:val="00FA53A4"/>
    <w:rsid w:val="00FA5A96"/>
    <w:rsid w:val="00FA5CD1"/>
    <w:rsid w:val="00FA6628"/>
    <w:rsid w:val="00FA7E75"/>
    <w:rsid w:val="00FA7F87"/>
    <w:rsid w:val="00FB0BAA"/>
    <w:rsid w:val="00FB148B"/>
    <w:rsid w:val="00FB26F8"/>
    <w:rsid w:val="00FB3D1F"/>
    <w:rsid w:val="00FC07C0"/>
    <w:rsid w:val="00FC0DE3"/>
    <w:rsid w:val="00FC1F2E"/>
    <w:rsid w:val="00FC25D7"/>
    <w:rsid w:val="00FC3125"/>
    <w:rsid w:val="00FC3D56"/>
    <w:rsid w:val="00FC42D5"/>
    <w:rsid w:val="00FC49EB"/>
    <w:rsid w:val="00FC4F24"/>
    <w:rsid w:val="00FC66EB"/>
    <w:rsid w:val="00FC707E"/>
    <w:rsid w:val="00FC7A40"/>
    <w:rsid w:val="00FD0F58"/>
    <w:rsid w:val="00FD2332"/>
    <w:rsid w:val="00FD3DEE"/>
    <w:rsid w:val="00FD5057"/>
    <w:rsid w:val="00FD54EE"/>
    <w:rsid w:val="00FD5D30"/>
    <w:rsid w:val="00FD6320"/>
    <w:rsid w:val="00FE233A"/>
    <w:rsid w:val="00FE261D"/>
    <w:rsid w:val="00FE2A4E"/>
    <w:rsid w:val="00FE2F4E"/>
    <w:rsid w:val="00FE3186"/>
    <w:rsid w:val="00FE4D4C"/>
    <w:rsid w:val="00FE4FDD"/>
    <w:rsid w:val="00FE6DCC"/>
    <w:rsid w:val="00FF02D6"/>
    <w:rsid w:val="00FF0A3F"/>
    <w:rsid w:val="00FF0A4B"/>
    <w:rsid w:val="00FF223C"/>
    <w:rsid w:val="00FF3E35"/>
    <w:rsid w:val="00FF48AA"/>
    <w:rsid w:val="00FF53DD"/>
    <w:rsid w:val="00FF5D50"/>
    <w:rsid w:val="0C518D84"/>
    <w:rsid w:val="0DED5DE5"/>
    <w:rsid w:val="115A46E1"/>
    <w:rsid w:val="14D35315"/>
    <w:rsid w:val="2875BBF2"/>
    <w:rsid w:val="30C46955"/>
    <w:rsid w:val="3FD5BBD6"/>
    <w:rsid w:val="49135411"/>
    <w:rsid w:val="4B15D297"/>
    <w:rsid w:val="532B6DE8"/>
    <w:rsid w:val="55805522"/>
    <w:rsid w:val="6C867254"/>
    <w:rsid w:val="70A3488C"/>
    <w:rsid w:val="7CE377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4745F"/>
  <w15:chartTrackingRefBased/>
  <w15:docId w15:val="{3637C999-5351-4B1D-B52E-71849F304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3464"/>
    <w:pPr>
      <w:widowControl w:val="0"/>
    </w:pPr>
    <w:rPr>
      <w:rFonts w:ascii="Arial" w:eastAsia="Times New Roman" w:hAnsi="Arial"/>
      <w:snapToGrid w:val="0"/>
      <w:sz w:val="24"/>
      <w:lang w:val="en-US" w:eastAsia="en-US"/>
    </w:rPr>
  </w:style>
  <w:style w:type="paragraph" w:styleId="Heading1">
    <w:name w:val="heading 1"/>
    <w:basedOn w:val="Normal"/>
    <w:next w:val="Normal"/>
    <w:link w:val="Heading1Char"/>
    <w:uiPriority w:val="9"/>
    <w:qFormat/>
    <w:rsid w:val="00F70EA5"/>
    <w:pPr>
      <w:keepNext/>
      <w:spacing w:before="360" w:after="180"/>
      <w:outlineLvl w:val="0"/>
    </w:pPr>
    <w:rPr>
      <w:b/>
      <w:bCs/>
      <w:kern w:val="32"/>
      <w:sz w:val="36"/>
      <w:szCs w:val="32"/>
    </w:rPr>
  </w:style>
  <w:style w:type="paragraph" w:styleId="Heading2">
    <w:name w:val="heading 2"/>
    <w:basedOn w:val="Normal"/>
    <w:next w:val="Normal"/>
    <w:link w:val="Heading2Char"/>
    <w:uiPriority w:val="9"/>
    <w:unhideWhenUsed/>
    <w:qFormat/>
    <w:rsid w:val="008F3943"/>
    <w:pPr>
      <w:keepNext/>
      <w:spacing w:before="360" w:after="180"/>
      <w:outlineLvl w:val="1"/>
    </w:pPr>
    <w:rPr>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369F"/>
    <w:pPr>
      <w:tabs>
        <w:tab w:val="center" w:pos="4513"/>
        <w:tab w:val="right" w:pos="9026"/>
      </w:tabs>
    </w:pPr>
  </w:style>
  <w:style w:type="character" w:customStyle="1" w:styleId="HeaderChar">
    <w:name w:val="Header Char"/>
    <w:link w:val="Header"/>
    <w:uiPriority w:val="99"/>
    <w:rsid w:val="0046369F"/>
    <w:rPr>
      <w:rFonts w:ascii="Times New Roman" w:eastAsia="Times New Roman" w:hAnsi="Times New Roman" w:cs="Times New Roman"/>
      <w:snapToGrid w:val="0"/>
      <w:sz w:val="24"/>
      <w:szCs w:val="20"/>
      <w:lang w:val="en-US"/>
    </w:rPr>
  </w:style>
  <w:style w:type="character" w:styleId="Hyperlink">
    <w:name w:val="Hyperlink"/>
    <w:uiPriority w:val="99"/>
    <w:rsid w:val="0046369F"/>
    <w:rPr>
      <w:color w:val="0000FF"/>
      <w:u w:val="single"/>
    </w:rPr>
  </w:style>
  <w:style w:type="paragraph" w:styleId="Footer">
    <w:name w:val="footer"/>
    <w:basedOn w:val="Normal"/>
    <w:link w:val="FooterChar"/>
    <w:uiPriority w:val="99"/>
    <w:unhideWhenUsed/>
    <w:rsid w:val="0046369F"/>
    <w:pPr>
      <w:tabs>
        <w:tab w:val="center" w:pos="4513"/>
        <w:tab w:val="right" w:pos="9026"/>
      </w:tabs>
    </w:pPr>
  </w:style>
  <w:style w:type="character" w:customStyle="1" w:styleId="FooterChar">
    <w:name w:val="Footer Char"/>
    <w:link w:val="Footer"/>
    <w:uiPriority w:val="99"/>
    <w:rsid w:val="0046369F"/>
    <w:rPr>
      <w:rFonts w:ascii="Times New Roman" w:eastAsia="Times New Roman" w:hAnsi="Times New Roman" w:cs="Times New Roman"/>
      <w:snapToGrid w:val="0"/>
      <w:sz w:val="24"/>
      <w:szCs w:val="20"/>
      <w:lang w:val="en-US"/>
    </w:rPr>
  </w:style>
  <w:style w:type="paragraph" w:styleId="BalloonText">
    <w:name w:val="Balloon Text"/>
    <w:basedOn w:val="Normal"/>
    <w:link w:val="BalloonTextChar"/>
    <w:uiPriority w:val="99"/>
    <w:semiHidden/>
    <w:unhideWhenUsed/>
    <w:rsid w:val="0046369F"/>
    <w:rPr>
      <w:rFonts w:ascii="Tahoma" w:hAnsi="Tahoma" w:cs="Tahoma"/>
      <w:sz w:val="16"/>
      <w:szCs w:val="16"/>
    </w:rPr>
  </w:style>
  <w:style w:type="character" w:customStyle="1" w:styleId="BalloonTextChar">
    <w:name w:val="Balloon Text Char"/>
    <w:link w:val="BalloonText"/>
    <w:uiPriority w:val="99"/>
    <w:semiHidden/>
    <w:rsid w:val="0046369F"/>
    <w:rPr>
      <w:rFonts w:ascii="Tahoma" w:eastAsia="Times New Roman" w:hAnsi="Tahoma" w:cs="Tahoma"/>
      <w:snapToGrid w:val="0"/>
      <w:sz w:val="16"/>
      <w:szCs w:val="16"/>
      <w:lang w:val="en-US"/>
    </w:rPr>
  </w:style>
  <w:style w:type="character" w:styleId="FollowedHyperlink">
    <w:name w:val="FollowedHyperlink"/>
    <w:uiPriority w:val="99"/>
    <w:semiHidden/>
    <w:unhideWhenUsed/>
    <w:rsid w:val="003C6410"/>
    <w:rPr>
      <w:color w:val="800080"/>
      <w:u w:val="single"/>
    </w:rPr>
  </w:style>
  <w:style w:type="character" w:styleId="CommentReference">
    <w:name w:val="annotation reference"/>
    <w:uiPriority w:val="99"/>
    <w:semiHidden/>
    <w:unhideWhenUsed/>
    <w:rsid w:val="00696A29"/>
    <w:rPr>
      <w:sz w:val="16"/>
      <w:szCs w:val="16"/>
    </w:rPr>
  </w:style>
  <w:style w:type="paragraph" w:styleId="CommentText">
    <w:name w:val="annotation text"/>
    <w:basedOn w:val="Normal"/>
    <w:link w:val="CommentTextChar"/>
    <w:uiPriority w:val="99"/>
    <w:semiHidden/>
    <w:unhideWhenUsed/>
    <w:rsid w:val="00696A29"/>
    <w:rPr>
      <w:sz w:val="20"/>
    </w:rPr>
  </w:style>
  <w:style w:type="character" w:customStyle="1" w:styleId="CommentTextChar">
    <w:name w:val="Comment Text Char"/>
    <w:link w:val="CommentText"/>
    <w:uiPriority w:val="99"/>
    <w:semiHidden/>
    <w:rsid w:val="00696A29"/>
    <w:rPr>
      <w:rFonts w:ascii="Times New Roman" w:eastAsia="Times New Roman" w:hAnsi="Times New Roman"/>
      <w:snapToGrid w:val="0"/>
      <w:lang w:val="en-US" w:eastAsia="en-US"/>
    </w:rPr>
  </w:style>
  <w:style w:type="paragraph" w:styleId="CommentSubject">
    <w:name w:val="annotation subject"/>
    <w:basedOn w:val="CommentText"/>
    <w:next w:val="CommentText"/>
    <w:link w:val="CommentSubjectChar"/>
    <w:uiPriority w:val="99"/>
    <w:semiHidden/>
    <w:unhideWhenUsed/>
    <w:rsid w:val="00696A29"/>
    <w:rPr>
      <w:b/>
      <w:bCs/>
    </w:rPr>
  </w:style>
  <w:style w:type="character" w:customStyle="1" w:styleId="CommentSubjectChar">
    <w:name w:val="Comment Subject Char"/>
    <w:link w:val="CommentSubject"/>
    <w:uiPriority w:val="99"/>
    <w:semiHidden/>
    <w:rsid w:val="00696A29"/>
    <w:rPr>
      <w:rFonts w:ascii="Times New Roman" w:eastAsia="Times New Roman" w:hAnsi="Times New Roman"/>
      <w:b/>
      <w:bCs/>
      <w:snapToGrid w:val="0"/>
      <w:lang w:val="en-US" w:eastAsia="en-US"/>
    </w:rPr>
  </w:style>
  <w:style w:type="character" w:styleId="UnresolvedMention">
    <w:name w:val="Unresolved Mention"/>
    <w:uiPriority w:val="99"/>
    <w:semiHidden/>
    <w:unhideWhenUsed/>
    <w:rsid w:val="004D220E"/>
    <w:rPr>
      <w:color w:val="605E5C"/>
      <w:shd w:val="clear" w:color="auto" w:fill="E1DFDD"/>
    </w:rPr>
  </w:style>
  <w:style w:type="character" w:customStyle="1" w:styleId="Heading1Char">
    <w:name w:val="Heading 1 Char"/>
    <w:link w:val="Heading1"/>
    <w:uiPriority w:val="9"/>
    <w:rsid w:val="00F70EA5"/>
    <w:rPr>
      <w:rFonts w:ascii="Arial" w:eastAsia="Times New Roman" w:hAnsi="Arial"/>
      <w:b/>
      <w:bCs/>
      <w:snapToGrid w:val="0"/>
      <w:kern w:val="32"/>
      <w:sz w:val="36"/>
      <w:szCs w:val="32"/>
      <w:lang w:val="en-US" w:eastAsia="en-US"/>
    </w:rPr>
  </w:style>
  <w:style w:type="character" w:customStyle="1" w:styleId="Heading2Char">
    <w:name w:val="Heading 2 Char"/>
    <w:link w:val="Heading2"/>
    <w:uiPriority w:val="9"/>
    <w:rsid w:val="008F3943"/>
    <w:rPr>
      <w:rFonts w:ascii="Arial" w:eastAsia="Times New Roman" w:hAnsi="Arial" w:cs="Times New Roman"/>
      <w:b/>
      <w:bCs/>
      <w:iCs/>
      <w:snapToGrid w:val="0"/>
      <w:sz w:val="28"/>
      <w:szCs w:val="28"/>
      <w:lang w:val="en-US" w:eastAsia="en-US"/>
    </w:rPr>
  </w:style>
  <w:style w:type="paragraph" w:styleId="TOCHeading">
    <w:name w:val="TOC Heading"/>
    <w:basedOn w:val="Heading1"/>
    <w:next w:val="Normal"/>
    <w:uiPriority w:val="39"/>
    <w:unhideWhenUsed/>
    <w:qFormat/>
    <w:rsid w:val="008F3943"/>
    <w:pPr>
      <w:keepLines/>
      <w:widowControl/>
      <w:spacing w:before="240" w:after="0" w:line="259" w:lineRule="auto"/>
      <w:outlineLvl w:val="9"/>
    </w:pPr>
    <w:rPr>
      <w:rFonts w:ascii="Calibri Light" w:hAnsi="Calibri Light"/>
      <w:b w:val="0"/>
      <w:bCs w:val="0"/>
      <w:snapToGrid/>
      <w:color w:val="2F5496"/>
      <w:kern w:val="0"/>
    </w:rPr>
  </w:style>
  <w:style w:type="paragraph" w:styleId="TOC1">
    <w:name w:val="toc 1"/>
    <w:basedOn w:val="Normal"/>
    <w:next w:val="Normal"/>
    <w:autoRedefine/>
    <w:uiPriority w:val="39"/>
    <w:unhideWhenUsed/>
    <w:rsid w:val="008F3943"/>
  </w:style>
  <w:style w:type="paragraph" w:styleId="TOC2">
    <w:name w:val="toc 2"/>
    <w:basedOn w:val="Normal"/>
    <w:next w:val="Normal"/>
    <w:autoRedefine/>
    <w:uiPriority w:val="39"/>
    <w:unhideWhenUsed/>
    <w:rsid w:val="008F3943"/>
    <w:pPr>
      <w:ind w:left="240"/>
    </w:pPr>
  </w:style>
  <w:style w:type="paragraph" w:styleId="Revision">
    <w:name w:val="Revision"/>
    <w:hidden/>
    <w:uiPriority w:val="99"/>
    <w:semiHidden/>
    <w:rsid w:val="000D3CF3"/>
    <w:rPr>
      <w:rFonts w:ascii="Arial" w:eastAsia="Times New Roman" w:hAnsi="Arial"/>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258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kingston.ac.uk/aboutkingstonuniversity/howtheuniversityworks/policiesandregulation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kingston.ac.uk/aboutkingstonuniversity/howtheuniversityworks/policiesandregul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A3E7E-F1D5-4852-B341-9C73ED9685E3}">
  <ds:schemaRefs>
    <ds:schemaRef ds:uri="http://schemas.microsoft.com/sharepoint/v3/contenttype/forms"/>
  </ds:schemaRefs>
</ds:datastoreItem>
</file>

<file path=customXml/itemProps2.xml><?xml version="1.0" encoding="utf-8"?>
<ds:datastoreItem xmlns:ds="http://schemas.openxmlformats.org/officeDocument/2006/customXml" ds:itemID="{B1909D62-7532-4741-BE6C-A32EB81CC7D3}">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32D71017-DF11-41EB-9114-8D4BAB034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CB486-5A55-4EFA-866A-9A6D21E8BE43}">
  <ds:schemaRefs>
    <ds:schemaRef ds:uri="http://schemas.microsoft.com/office/2006/metadata/longProperties"/>
  </ds:schemaRefs>
</ds:datastoreItem>
</file>

<file path=customXml/itemProps5.xml><?xml version="1.0" encoding="utf-8"?>
<ds:datastoreItem xmlns:ds="http://schemas.openxmlformats.org/officeDocument/2006/customXml" ds:itemID="{FB9C5FC1-8120-4496-9504-6E3998896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1297</Words>
  <Characters>7394</Characters>
  <Application>Microsoft Office Word</Application>
  <DocSecurity>0</DocSecurity>
  <Lines>61</Lines>
  <Paragraphs>17</Paragraphs>
  <ScaleCrop>false</ScaleCrop>
  <Company>Kingston University</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Mansi, Dominic A</dc:creator>
  <cp:keywords/>
  <cp:lastModifiedBy>Corcoran, Linda</cp:lastModifiedBy>
  <cp:revision>21</cp:revision>
  <cp:lastPrinted>2022-03-15T17:59:00Z</cp:lastPrinted>
  <dcterms:created xsi:type="dcterms:W3CDTF">2025-03-13T16:56:00Z</dcterms:created>
  <dcterms:modified xsi:type="dcterms:W3CDTF">2025-07-18T12:01:00Z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ContentTypeId">
    <vt:lpwstr>0x010100AF47C6D639642C4882A310EAFDB93A7F</vt:lpwstr>
  </property>
  <property fmtid="{D5CDD505-2E9C-101B-9397-08002B2CF9AE}" pid="6" name="_ip_UnifiedCompliancePolicyUIAction">
    <vt:lpwstr/>
  </property>
  <property fmtid="{D5CDD505-2E9C-101B-9397-08002B2CF9AE}" pid="7" name="_ip_UnifiedCompliancePolicyPropertie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KU02390@kingston.ac.uk</vt:lpwstr>
  </property>
  <property fmtid="{D5CDD505-2E9C-101B-9397-08002B2CF9AE}" pid="11" name="MSIP_Label_3b551598-29da-492a-8b9f-8358cd43dd03_SetDate">
    <vt:lpwstr>2021-11-23T10:21:51.5610780Z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0faa6a62-a04f-4810-b340-de27f23b40c1</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