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4D917" w14:textId="7EAB40F2" w:rsidR="0046369F" w:rsidRPr="002B1AEB" w:rsidRDefault="0046369F" w:rsidP="00FF0B2F">
      <w:pPr>
        <w:pStyle w:val="Heading1"/>
        <w:jc w:val="center"/>
      </w:pPr>
      <w:bookmarkStart w:id="0" w:name="_Toc98234886"/>
      <w:bookmarkStart w:id="1" w:name="_Toc103762955"/>
      <w:bookmarkStart w:id="2" w:name="_Toc172282908"/>
      <w:r>
        <w:t xml:space="preserve">Guidance </w:t>
      </w:r>
      <w:r w:rsidR="7734139F">
        <w:t>IG (</w:t>
      </w:r>
      <w:r w:rsidR="00CF1AF1">
        <w:t>i</w:t>
      </w:r>
      <w:r>
        <w:t>v)</w:t>
      </w:r>
      <w:bookmarkEnd w:id="0"/>
      <w:bookmarkEnd w:id="1"/>
      <w:bookmarkEnd w:id="2"/>
    </w:p>
    <w:p w14:paraId="71AC80CC" w14:textId="77777777" w:rsidR="005B349B" w:rsidRPr="002B1AEB" w:rsidRDefault="0046369F" w:rsidP="00FF0B2F">
      <w:pPr>
        <w:pStyle w:val="Heading1"/>
        <w:jc w:val="center"/>
      </w:pPr>
      <w:bookmarkStart w:id="3" w:name="_Toc98234887"/>
      <w:bookmarkStart w:id="4" w:name="_Toc103762956"/>
      <w:bookmarkStart w:id="5" w:name="_Toc172282909"/>
      <w:r w:rsidRPr="002B1AEB">
        <w:t xml:space="preserve">Rights and Responsibilities of </w:t>
      </w:r>
      <w:r w:rsidR="00750E3D" w:rsidRPr="002B1AEB">
        <w:t xml:space="preserve">Subject </w:t>
      </w:r>
      <w:r w:rsidRPr="002B1AEB">
        <w:t>External Examiners</w:t>
      </w:r>
      <w:bookmarkEnd w:id="3"/>
      <w:bookmarkEnd w:id="4"/>
      <w:bookmarkEnd w:id="5"/>
    </w:p>
    <w:p w14:paraId="61BEE27A" w14:textId="77777777" w:rsidR="006F2224" w:rsidRDefault="005B349B" w:rsidP="00AD25E0">
      <w:pPr>
        <w:pStyle w:val="Heading2"/>
        <w:jc w:val="center"/>
        <w:rPr>
          <w:noProof/>
        </w:rPr>
      </w:pPr>
      <w:bookmarkStart w:id="6" w:name="_Toc103762957"/>
      <w:bookmarkStart w:id="7" w:name="_Toc172282910"/>
      <w:r w:rsidRPr="002B1AEB">
        <w:t>Contents</w:t>
      </w:r>
      <w:bookmarkEnd w:id="6"/>
      <w:bookmarkEnd w:id="7"/>
      <w:r w:rsidRPr="002B1AEB">
        <w:rPr>
          <w:b w:val="0"/>
          <w:bCs w:val="0"/>
        </w:rPr>
        <w:fldChar w:fldCharType="begin"/>
      </w:r>
      <w:r w:rsidRPr="002B1AEB">
        <w:instrText xml:space="preserve"> TOC \o "1-3" \h \z \u </w:instrText>
      </w:r>
      <w:r w:rsidRPr="002B1AEB">
        <w:rPr>
          <w:b w:val="0"/>
          <w:bCs w:val="0"/>
        </w:rPr>
        <w:fldChar w:fldCharType="separate"/>
      </w:r>
    </w:p>
    <w:p w14:paraId="73035B67" w14:textId="0C7E50C9" w:rsidR="006F2224" w:rsidRDefault="006F2224">
      <w:pPr>
        <w:pStyle w:val="TOC1"/>
        <w:tabs>
          <w:tab w:val="right" w:leader="dot" w:pos="9016"/>
        </w:tabs>
        <w:rPr>
          <w:rFonts w:asciiTheme="minorHAnsi" w:eastAsiaTheme="minorEastAsia" w:hAnsiTheme="minorHAnsi" w:cstheme="minorBidi"/>
          <w:noProof/>
          <w:snapToGrid/>
          <w:sz w:val="22"/>
          <w:szCs w:val="22"/>
          <w:lang w:val="en-GB" w:eastAsia="en-GB"/>
        </w:rPr>
      </w:pPr>
      <w:hyperlink w:anchor="_Toc172282908" w:history="1">
        <w:r w:rsidRPr="00B43351">
          <w:rPr>
            <w:rStyle w:val="Hyperlink"/>
            <w:noProof/>
          </w:rPr>
          <w:t>Guidance IG(iv)</w:t>
        </w:r>
        <w:r>
          <w:rPr>
            <w:noProof/>
            <w:webHidden/>
          </w:rPr>
          <w:tab/>
        </w:r>
        <w:r>
          <w:rPr>
            <w:noProof/>
            <w:webHidden/>
          </w:rPr>
          <w:fldChar w:fldCharType="begin"/>
        </w:r>
        <w:r>
          <w:rPr>
            <w:noProof/>
            <w:webHidden/>
          </w:rPr>
          <w:instrText xml:space="preserve"> PAGEREF _Toc172282908 \h </w:instrText>
        </w:r>
        <w:r>
          <w:rPr>
            <w:noProof/>
            <w:webHidden/>
          </w:rPr>
        </w:r>
        <w:r>
          <w:rPr>
            <w:noProof/>
            <w:webHidden/>
          </w:rPr>
          <w:fldChar w:fldCharType="separate"/>
        </w:r>
        <w:r>
          <w:rPr>
            <w:noProof/>
            <w:webHidden/>
          </w:rPr>
          <w:t>1</w:t>
        </w:r>
        <w:r>
          <w:rPr>
            <w:noProof/>
            <w:webHidden/>
          </w:rPr>
          <w:fldChar w:fldCharType="end"/>
        </w:r>
      </w:hyperlink>
    </w:p>
    <w:p w14:paraId="62D66CA3" w14:textId="2DFE953A" w:rsidR="006F2224" w:rsidRDefault="006F2224">
      <w:pPr>
        <w:pStyle w:val="TOC1"/>
        <w:tabs>
          <w:tab w:val="right" w:leader="dot" w:pos="9016"/>
        </w:tabs>
        <w:rPr>
          <w:rFonts w:asciiTheme="minorHAnsi" w:eastAsiaTheme="minorEastAsia" w:hAnsiTheme="minorHAnsi" w:cstheme="minorBidi"/>
          <w:noProof/>
          <w:snapToGrid/>
          <w:sz w:val="22"/>
          <w:szCs w:val="22"/>
          <w:lang w:val="en-GB" w:eastAsia="en-GB"/>
        </w:rPr>
      </w:pPr>
      <w:hyperlink w:anchor="_Toc172282909" w:history="1">
        <w:r w:rsidRPr="00B43351">
          <w:rPr>
            <w:rStyle w:val="Hyperlink"/>
            <w:noProof/>
          </w:rPr>
          <w:t>Rights and Responsibilities of Subject External Examiners</w:t>
        </w:r>
        <w:r>
          <w:rPr>
            <w:noProof/>
            <w:webHidden/>
          </w:rPr>
          <w:tab/>
        </w:r>
        <w:r>
          <w:rPr>
            <w:noProof/>
            <w:webHidden/>
          </w:rPr>
          <w:fldChar w:fldCharType="begin"/>
        </w:r>
        <w:r>
          <w:rPr>
            <w:noProof/>
            <w:webHidden/>
          </w:rPr>
          <w:instrText xml:space="preserve"> PAGEREF _Toc172282909 \h </w:instrText>
        </w:r>
        <w:r>
          <w:rPr>
            <w:noProof/>
            <w:webHidden/>
          </w:rPr>
        </w:r>
        <w:r>
          <w:rPr>
            <w:noProof/>
            <w:webHidden/>
          </w:rPr>
          <w:fldChar w:fldCharType="separate"/>
        </w:r>
        <w:r>
          <w:rPr>
            <w:noProof/>
            <w:webHidden/>
          </w:rPr>
          <w:t>1</w:t>
        </w:r>
        <w:r>
          <w:rPr>
            <w:noProof/>
            <w:webHidden/>
          </w:rPr>
          <w:fldChar w:fldCharType="end"/>
        </w:r>
      </w:hyperlink>
    </w:p>
    <w:p w14:paraId="57128A8C" w14:textId="677B44E2"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0" w:history="1">
        <w:r w:rsidRPr="00B43351">
          <w:rPr>
            <w:rStyle w:val="Hyperlink"/>
            <w:noProof/>
          </w:rPr>
          <w:t>Contents</w:t>
        </w:r>
        <w:r>
          <w:rPr>
            <w:noProof/>
            <w:webHidden/>
          </w:rPr>
          <w:tab/>
        </w:r>
        <w:r>
          <w:rPr>
            <w:noProof/>
            <w:webHidden/>
          </w:rPr>
          <w:fldChar w:fldCharType="begin"/>
        </w:r>
        <w:r>
          <w:rPr>
            <w:noProof/>
            <w:webHidden/>
          </w:rPr>
          <w:instrText xml:space="preserve"> PAGEREF _Toc172282910 \h </w:instrText>
        </w:r>
        <w:r>
          <w:rPr>
            <w:noProof/>
            <w:webHidden/>
          </w:rPr>
        </w:r>
        <w:r>
          <w:rPr>
            <w:noProof/>
            <w:webHidden/>
          </w:rPr>
          <w:fldChar w:fldCharType="separate"/>
        </w:r>
        <w:r>
          <w:rPr>
            <w:noProof/>
            <w:webHidden/>
          </w:rPr>
          <w:t>1</w:t>
        </w:r>
        <w:r>
          <w:rPr>
            <w:noProof/>
            <w:webHidden/>
          </w:rPr>
          <w:fldChar w:fldCharType="end"/>
        </w:r>
      </w:hyperlink>
    </w:p>
    <w:p w14:paraId="7D59F4D2" w14:textId="69521273" w:rsidR="006F2224" w:rsidRDefault="006F2224">
      <w:pPr>
        <w:pStyle w:val="TOC1"/>
        <w:tabs>
          <w:tab w:val="right" w:leader="dot" w:pos="9016"/>
        </w:tabs>
        <w:rPr>
          <w:rFonts w:asciiTheme="minorHAnsi" w:eastAsiaTheme="minorEastAsia" w:hAnsiTheme="minorHAnsi" w:cstheme="minorBidi"/>
          <w:noProof/>
          <w:snapToGrid/>
          <w:sz w:val="22"/>
          <w:szCs w:val="22"/>
          <w:lang w:val="en-GB" w:eastAsia="en-GB"/>
        </w:rPr>
      </w:pPr>
      <w:hyperlink w:anchor="_Toc172282911" w:history="1">
        <w:r w:rsidRPr="00B43351">
          <w:rPr>
            <w:rStyle w:val="Hyperlink"/>
            <w:noProof/>
            <w:lang w:val="en-GB"/>
          </w:rPr>
          <w:t>The Role of the Subject External Examiner</w:t>
        </w:r>
        <w:r>
          <w:rPr>
            <w:noProof/>
            <w:webHidden/>
          </w:rPr>
          <w:tab/>
        </w:r>
        <w:r>
          <w:rPr>
            <w:noProof/>
            <w:webHidden/>
          </w:rPr>
          <w:fldChar w:fldCharType="begin"/>
        </w:r>
        <w:r>
          <w:rPr>
            <w:noProof/>
            <w:webHidden/>
          </w:rPr>
          <w:instrText xml:space="preserve"> PAGEREF _Toc172282911 \h </w:instrText>
        </w:r>
        <w:r>
          <w:rPr>
            <w:noProof/>
            <w:webHidden/>
          </w:rPr>
        </w:r>
        <w:r>
          <w:rPr>
            <w:noProof/>
            <w:webHidden/>
          </w:rPr>
          <w:fldChar w:fldCharType="separate"/>
        </w:r>
        <w:r>
          <w:rPr>
            <w:noProof/>
            <w:webHidden/>
          </w:rPr>
          <w:t>2</w:t>
        </w:r>
        <w:r>
          <w:rPr>
            <w:noProof/>
            <w:webHidden/>
          </w:rPr>
          <w:fldChar w:fldCharType="end"/>
        </w:r>
      </w:hyperlink>
    </w:p>
    <w:p w14:paraId="7F1225EE" w14:textId="44487C82"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2" w:history="1">
        <w:r w:rsidRPr="00B43351">
          <w:rPr>
            <w:rStyle w:val="Hyperlink"/>
            <w:noProof/>
            <w:lang w:val="en-GB"/>
          </w:rPr>
          <w:t>Consultation on draft assessments (coursework briefs and examination papers).</w:t>
        </w:r>
        <w:r>
          <w:rPr>
            <w:noProof/>
            <w:webHidden/>
          </w:rPr>
          <w:tab/>
        </w:r>
        <w:r>
          <w:rPr>
            <w:noProof/>
            <w:webHidden/>
          </w:rPr>
          <w:fldChar w:fldCharType="begin"/>
        </w:r>
        <w:r>
          <w:rPr>
            <w:noProof/>
            <w:webHidden/>
          </w:rPr>
          <w:instrText xml:space="preserve"> PAGEREF _Toc172282912 \h </w:instrText>
        </w:r>
        <w:r>
          <w:rPr>
            <w:noProof/>
            <w:webHidden/>
          </w:rPr>
        </w:r>
        <w:r>
          <w:rPr>
            <w:noProof/>
            <w:webHidden/>
          </w:rPr>
          <w:fldChar w:fldCharType="separate"/>
        </w:r>
        <w:r>
          <w:rPr>
            <w:noProof/>
            <w:webHidden/>
          </w:rPr>
          <w:t>2</w:t>
        </w:r>
        <w:r>
          <w:rPr>
            <w:noProof/>
            <w:webHidden/>
          </w:rPr>
          <w:fldChar w:fldCharType="end"/>
        </w:r>
      </w:hyperlink>
    </w:p>
    <w:p w14:paraId="76460F39" w14:textId="05ABE3FE"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3" w:history="1">
        <w:r w:rsidRPr="00B43351">
          <w:rPr>
            <w:rStyle w:val="Hyperlink"/>
            <w:noProof/>
            <w:lang w:val="en-GB"/>
          </w:rPr>
          <w:t>The audit of assessed work</w:t>
        </w:r>
        <w:r>
          <w:rPr>
            <w:noProof/>
            <w:webHidden/>
          </w:rPr>
          <w:tab/>
        </w:r>
        <w:r>
          <w:rPr>
            <w:noProof/>
            <w:webHidden/>
          </w:rPr>
          <w:fldChar w:fldCharType="begin"/>
        </w:r>
        <w:r>
          <w:rPr>
            <w:noProof/>
            <w:webHidden/>
          </w:rPr>
          <w:instrText xml:space="preserve"> PAGEREF _Toc172282913 \h </w:instrText>
        </w:r>
        <w:r>
          <w:rPr>
            <w:noProof/>
            <w:webHidden/>
          </w:rPr>
        </w:r>
        <w:r>
          <w:rPr>
            <w:noProof/>
            <w:webHidden/>
          </w:rPr>
          <w:fldChar w:fldCharType="separate"/>
        </w:r>
        <w:r>
          <w:rPr>
            <w:noProof/>
            <w:webHidden/>
          </w:rPr>
          <w:t>2</w:t>
        </w:r>
        <w:r>
          <w:rPr>
            <w:noProof/>
            <w:webHidden/>
          </w:rPr>
          <w:fldChar w:fldCharType="end"/>
        </w:r>
      </w:hyperlink>
    </w:p>
    <w:p w14:paraId="78C2EFF8" w14:textId="75EA3368"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4" w:history="1">
        <w:r w:rsidRPr="00B43351">
          <w:rPr>
            <w:rStyle w:val="Hyperlink"/>
            <w:noProof/>
            <w:lang w:val="en-GB"/>
          </w:rPr>
          <w:t>Viva-voce examinations</w:t>
        </w:r>
        <w:r>
          <w:rPr>
            <w:noProof/>
            <w:webHidden/>
          </w:rPr>
          <w:tab/>
        </w:r>
        <w:r>
          <w:rPr>
            <w:noProof/>
            <w:webHidden/>
          </w:rPr>
          <w:fldChar w:fldCharType="begin"/>
        </w:r>
        <w:r>
          <w:rPr>
            <w:noProof/>
            <w:webHidden/>
          </w:rPr>
          <w:instrText xml:space="preserve"> PAGEREF _Toc172282914 \h </w:instrText>
        </w:r>
        <w:r>
          <w:rPr>
            <w:noProof/>
            <w:webHidden/>
          </w:rPr>
        </w:r>
        <w:r>
          <w:rPr>
            <w:noProof/>
            <w:webHidden/>
          </w:rPr>
          <w:fldChar w:fldCharType="separate"/>
        </w:r>
        <w:r>
          <w:rPr>
            <w:noProof/>
            <w:webHidden/>
          </w:rPr>
          <w:t>3</w:t>
        </w:r>
        <w:r>
          <w:rPr>
            <w:noProof/>
            <w:webHidden/>
          </w:rPr>
          <w:fldChar w:fldCharType="end"/>
        </w:r>
      </w:hyperlink>
    </w:p>
    <w:p w14:paraId="697CFD72" w14:textId="08C91256"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5" w:history="1">
        <w:r w:rsidRPr="00B43351">
          <w:rPr>
            <w:rStyle w:val="Hyperlink"/>
            <w:noProof/>
            <w:lang w:val="en-GB"/>
          </w:rPr>
          <w:t>Audit of Erasmus modules</w:t>
        </w:r>
        <w:r>
          <w:rPr>
            <w:noProof/>
            <w:webHidden/>
          </w:rPr>
          <w:tab/>
        </w:r>
        <w:r>
          <w:rPr>
            <w:noProof/>
            <w:webHidden/>
          </w:rPr>
          <w:fldChar w:fldCharType="begin"/>
        </w:r>
        <w:r>
          <w:rPr>
            <w:noProof/>
            <w:webHidden/>
          </w:rPr>
          <w:instrText xml:space="preserve"> PAGEREF _Toc172282915 \h </w:instrText>
        </w:r>
        <w:r>
          <w:rPr>
            <w:noProof/>
            <w:webHidden/>
          </w:rPr>
        </w:r>
        <w:r>
          <w:rPr>
            <w:noProof/>
            <w:webHidden/>
          </w:rPr>
          <w:fldChar w:fldCharType="separate"/>
        </w:r>
        <w:r>
          <w:rPr>
            <w:noProof/>
            <w:webHidden/>
          </w:rPr>
          <w:t>3</w:t>
        </w:r>
        <w:r>
          <w:rPr>
            <w:noProof/>
            <w:webHidden/>
          </w:rPr>
          <w:fldChar w:fldCharType="end"/>
        </w:r>
      </w:hyperlink>
    </w:p>
    <w:p w14:paraId="7B13DE18" w14:textId="6D0617A1"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6" w:history="1">
        <w:r w:rsidRPr="00B43351">
          <w:rPr>
            <w:rStyle w:val="Hyperlink"/>
            <w:noProof/>
          </w:rPr>
          <w:t>Audit of modules running across multiple programmes</w:t>
        </w:r>
        <w:r>
          <w:rPr>
            <w:noProof/>
            <w:webHidden/>
          </w:rPr>
          <w:tab/>
        </w:r>
        <w:r>
          <w:rPr>
            <w:noProof/>
            <w:webHidden/>
          </w:rPr>
          <w:fldChar w:fldCharType="begin"/>
        </w:r>
        <w:r>
          <w:rPr>
            <w:noProof/>
            <w:webHidden/>
          </w:rPr>
          <w:instrText xml:space="preserve"> PAGEREF _Toc172282916 \h </w:instrText>
        </w:r>
        <w:r>
          <w:rPr>
            <w:noProof/>
            <w:webHidden/>
          </w:rPr>
        </w:r>
        <w:r>
          <w:rPr>
            <w:noProof/>
            <w:webHidden/>
          </w:rPr>
          <w:fldChar w:fldCharType="separate"/>
        </w:r>
        <w:r>
          <w:rPr>
            <w:noProof/>
            <w:webHidden/>
          </w:rPr>
          <w:t>3</w:t>
        </w:r>
        <w:r>
          <w:rPr>
            <w:noProof/>
            <w:webHidden/>
          </w:rPr>
          <w:fldChar w:fldCharType="end"/>
        </w:r>
      </w:hyperlink>
    </w:p>
    <w:p w14:paraId="443C3D33" w14:textId="4CCA75EF"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7" w:history="1">
        <w:r w:rsidRPr="00B43351">
          <w:rPr>
            <w:rStyle w:val="Hyperlink"/>
            <w:noProof/>
            <w:lang w:val="en-GB"/>
          </w:rPr>
          <w:t>Responsibility for agreeing marks and grades</w:t>
        </w:r>
        <w:r>
          <w:rPr>
            <w:noProof/>
            <w:webHidden/>
          </w:rPr>
          <w:tab/>
        </w:r>
        <w:r>
          <w:rPr>
            <w:noProof/>
            <w:webHidden/>
          </w:rPr>
          <w:fldChar w:fldCharType="begin"/>
        </w:r>
        <w:r>
          <w:rPr>
            <w:noProof/>
            <w:webHidden/>
          </w:rPr>
          <w:instrText xml:space="preserve"> PAGEREF _Toc172282917 \h </w:instrText>
        </w:r>
        <w:r>
          <w:rPr>
            <w:noProof/>
            <w:webHidden/>
          </w:rPr>
        </w:r>
        <w:r>
          <w:rPr>
            <w:noProof/>
            <w:webHidden/>
          </w:rPr>
          <w:fldChar w:fldCharType="separate"/>
        </w:r>
        <w:r>
          <w:rPr>
            <w:noProof/>
            <w:webHidden/>
          </w:rPr>
          <w:t>4</w:t>
        </w:r>
        <w:r>
          <w:rPr>
            <w:noProof/>
            <w:webHidden/>
          </w:rPr>
          <w:fldChar w:fldCharType="end"/>
        </w:r>
      </w:hyperlink>
    </w:p>
    <w:p w14:paraId="56049861" w14:textId="292EB222"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8" w:history="1">
        <w:r w:rsidRPr="00B43351">
          <w:rPr>
            <w:rStyle w:val="Hyperlink"/>
            <w:noProof/>
            <w:lang w:val="en-GB"/>
          </w:rPr>
          <w:t>Internal marking and moderation procedures</w:t>
        </w:r>
        <w:r>
          <w:rPr>
            <w:noProof/>
            <w:webHidden/>
          </w:rPr>
          <w:tab/>
        </w:r>
        <w:r>
          <w:rPr>
            <w:noProof/>
            <w:webHidden/>
          </w:rPr>
          <w:fldChar w:fldCharType="begin"/>
        </w:r>
        <w:r>
          <w:rPr>
            <w:noProof/>
            <w:webHidden/>
          </w:rPr>
          <w:instrText xml:space="preserve"> PAGEREF _Toc172282918 \h </w:instrText>
        </w:r>
        <w:r>
          <w:rPr>
            <w:noProof/>
            <w:webHidden/>
          </w:rPr>
        </w:r>
        <w:r>
          <w:rPr>
            <w:noProof/>
            <w:webHidden/>
          </w:rPr>
          <w:fldChar w:fldCharType="separate"/>
        </w:r>
        <w:r>
          <w:rPr>
            <w:noProof/>
            <w:webHidden/>
          </w:rPr>
          <w:t>4</w:t>
        </w:r>
        <w:r>
          <w:rPr>
            <w:noProof/>
            <w:webHidden/>
          </w:rPr>
          <w:fldChar w:fldCharType="end"/>
        </w:r>
      </w:hyperlink>
    </w:p>
    <w:p w14:paraId="0956ACB0" w14:textId="2F5C0544"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19" w:history="1">
        <w:r w:rsidRPr="00B43351">
          <w:rPr>
            <w:rStyle w:val="Hyperlink"/>
            <w:noProof/>
            <w:lang w:val="en-GB"/>
          </w:rPr>
          <w:t>Communication between module leaders and subject external examiners</w:t>
        </w:r>
        <w:r>
          <w:rPr>
            <w:noProof/>
            <w:webHidden/>
          </w:rPr>
          <w:tab/>
        </w:r>
        <w:r>
          <w:rPr>
            <w:noProof/>
            <w:webHidden/>
          </w:rPr>
          <w:fldChar w:fldCharType="begin"/>
        </w:r>
        <w:r>
          <w:rPr>
            <w:noProof/>
            <w:webHidden/>
          </w:rPr>
          <w:instrText xml:space="preserve"> PAGEREF _Toc172282919 \h </w:instrText>
        </w:r>
        <w:r>
          <w:rPr>
            <w:noProof/>
            <w:webHidden/>
          </w:rPr>
        </w:r>
        <w:r>
          <w:rPr>
            <w:noProof/>
            <w:webHidden/>
          </w:rPr>
          <w:fldChar w:fldCharType="separate"/>
        </w:r>
        <w:r>
          <w:rPr>
            <w:noProof/>
            <w:webHidden/>
          </w:rPr>
          <w:t>4</w:t>
        </w:r>
        <w:r>
          <w:rPr>
            <w:noProof/>
            <w:webHidden/>
          </w:rPr>
          <w:fldChar w:fldCharType="end"/>
        </w:r>
      </w:hyperlink>
    </w:p>
    <w:p w14:paraId="5D2BA18B" w14:textId="1ADF5327"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0" w:history="1">
        <w:r w:rsidRPr="00B43351">
          <w:rPr>
            <w:rStyle w:val="Hyperlink"/>
            <w:noProof/>
            <w:lang w:val="en-GB"/>
          </w:rPr>
          <w:t>Visits to the University and UK-based collaborative partners</w:t>
        </w:r>
        <w:r>
          <w:rPr>
            <w:noProof/>
            <w:webHidden/>
          </w:rPr>
          <w:tab/>
        </w:r>
        <w:r>
          <w:rPr>
            <w:noProof/>
            <w:webHidden/>
          </w:rPr>
          <w:fldChar w:fldCharType="begin"/>
        </w:r>
        <w:r>
          <w:rPr>
            <w:noProof/>
            <w:webHidden/>
          </w:rPr>
          <w:instrText xml:space="preserve"> PAGEREF _Toc172282920 \h </w:instrText>
        </w:r>
        <w:r>
          <w:rPr>
            <w:noProof/>
            <w:webHidden/>
          </w:rPr>
        </w:r>
        <w:r>
          <w:rPr>
            <w:noProof/>
            <w:webHidden/>
          </w:rPr>
          <w:fldChar w:fldCharType="separate"/>
        </w:r>
        <w:r>
          <w:rPr>
            <w:noProof/>
            <w:webHidden/>
          </w:rPr>
          <w:t>5</w:t>
        </w:r>
        <w:r>
          <w:rPr>
            <w:noProof/>
            <w:webHidden/>
          </w:rPr>
          <w:fldChar w:fldCharType="end"/>
        </w:r>
      </w:hyperlink>
    </w:p>
    <w:p w14:paraId="6DE147E1" w14:textId="73D6FF9B"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1" w:history="1">
        <w:r w:rsidRPr="00B43351">
          <w:rPr>
            <w:rStyle w:val="Hyperlink"/>
            <w:noProof/>
            <w:lang w:val="en-GB"/>
          </w:rPr>
          <w:t>Visits to Overseas Collaborative Partners</w:t>
        </w:r>
        <w:r>
          <w:rPr>
            <w:noProof/>
            <w:webHidden/>
          </w:rPr>
          <w:tab/>
        </w:r>
        <w:r>
          <w:rPr>
            <w:noProof/>
            <w:webHidden/>
          </w:rPr>
          <w:fldChar w:fldCharType="begin"/>
        </w:r>
        <w:r>
          <w:rPr>
            <w:noProof/>
            <w:webHidden/>
          </w:rPr>
          <w:instrText xml:space="preserve"> PAGEREF _Toc172282921 \h </w:instrText>
        </w:r>
        <w:r>
          <w:rPr>
            <w:noProof/>
            <w:webHidden/>
          </w:rPr>
        </w:r>
        <w:r>
          <w:rPr>
            <w:noProof/>
            <w:webHidden/>
          </w:rPr>
          <w:fldChar w:fldCharType="separate"/>
        </w:r>
        <w:r>
          <w:rPr>
            <w:noProof/>
            <w:webHidden/>
          </w:rPr>
          <w:t>5</w:t>
        </w:r>
        <w:r>
          <w:rPr>
            <w:noProof/>
            <w:webHidden/>
          </w:rPr>
          <w:fldChar w:fldCharType="end"/>
        </w:r>
      </w:hyperlink>
    </w:p>
    <w:p w14:paraId="768F82A3" w14:textId="59BA7167"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2" w:history="1">
        <w:r w:rsidRPr="00B43351">
          <w:rPr>
            <w:rStyle w:val="Hyperlink"/>
            <w:noProof/>
            <w:lang w:val="en-GB"/>
          </w:rPr>
          <w:t>Subject External Examiners’ feedback on their audit of sample student work and confirmation of module marks</w:t>
        </w:r>
        <w:r>
          <w:rPr>
            <w:noProof/>
            <w:webHidden/>
          </w:rPr>
          <w:tab/>
        </w:r>
        <w:r>
          <w:rPr>
            <w:noProof/>
            <w:webHidden/>
          </w:rPr>
          <w:fldChar w:fldCharType="begin"/>
        </w:r>
        <w:r>
          <w:rPr>
            <w:noProof/>
            <w:webHidden/>
          </w:rPr>
          <w:instrText xml:space="preserve"> PAGEREF _Toc172282922 \h </w:instrText>
        </w:r>
        <w:r>
          <w:rPr>
            <w:noProof/>
            <w:webHidden/>
          </w:rPr>
        </w:r>
        <w:r>
          <w:rPr>
            <w:noProof/>
            <w:webHidden/>
          </w:rPr>
          <w:fldChar w:fldCharType="separate"/>
        </w:r>
        <w:r>
          <w:rPr>
            <w:noProof/>
            <w:webHidden/>
          </w:rPr>
          <w:t>5</w:t>
        </w:r>
        <w:r>
          <w:rPr>
            <w:noProof/>
            <w:webHidden/>
          </w:rPr>
          <w:fldChar w:fldCharType="end"/>
        </w:r>
      </w:hyperlink>
    </w:p>
    <w:p w14:paraId="7A93A9D0" w14:textId="637264BB"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3" w:history="1">
        <w:r w:rsidRPr="00B43351">
          <w:rPr>
            <w:rStyle w:val="Hyperlink"/>
            <w:noProof/>
          </w:rPr>
          <w:t>Involvement of external examiners in validation and consultancy activity</w:t>
        </w:r>
        <w:r>
          <w:rPr>
            <w:noProof/>
            <w:webHidden/>
          </w:rPr>
          <w:tab/>
        </w:r>
        <w:r>
          <w:rPr>
            <w:noProof/>
            <w:webHidden/>
          </w:rPr>
          <w:fldChar w:fldCharType="begin"/>
        </w:r>
        <w:r>
          <w:rPr>
            <w:noProof/>
            <w:webHidden/>
          </w:rPr>
          <w:instrText xml:space="preserve"> PAGEREF _Toc172282923 \h </w:instrText>
        </w:r>
        <w:r>
          <w:rPr>
            <w:noProof/>
            <w:webHidden/>
          </w:rPr>
        </w:r>
        <w:r>
          <w:rPr>
            <w:noProof/>
            <w:webHidden/>
          </w:rPr>
          <w:fldChar w:fldCharType="separate"/>
        </w:r>
        <w:r>
          <w:rPr>
            <w:noProof/>
            <w:webHidden/>
          </w:rPr>
          <w:t>6</w:t>
        </w:r>
        <w:r>
          <w:rPr>
            <w:noProof/>
            <w:webHidden/>
          </w:rPr>
          <w:fldChar w:fldCharType="end"/>
        </w:r>
      </w:hyperlink>
    </w:p>
    <w:p w14:paraId="0DE6817C" w14:textId="078B7073"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4" w:history="1">
        <w:r w:rsidRPr="00B43351">
          <w:rPr>
            <w:rStyle w:val="Hyperlink"/>
            <w:noProof/>
            <w:lang w:val="en-GB"/>
          </w:rPr>
          <w:t>Subject External Examiners’ reports</w:t>
        </w:r>
        <w:r>
          <w:rPr>
            <w:noProof/>
            <w:webHidden/>
          </w:rPr>
          <w:tab/>
        </w:r>
        <w:r>
          <w:rPr>
            <w:noProof/>
            <w:webHidden/>
          </w:rPr>
          <w:fldChar w:fldCharType="begin"/>
        </w:r>
        <w:r>
          <w:rPr>
            <w:noProof/>
            <w:webHidden/>
          </w:rPr>
          <w:instrText xml:space="preserve"> PAGEREF _Toc172282924 \h </w:instrText>
        </w:r>
        <w:r>
          <w:rPr>
            <w:noProof/>
            <w:webHidden/>
          </w:rPr>
        </w:r>
        <w:r>
          <w:rPr>
            <w:noProof/>
            <w:webHidden/>
          </w:rPr>
          <w:fldChar w:fldCharType="separate"/>
        </w:r>
        <w:r>
          <w:rPr>
            <w:noProof/>
            <w:webHidden/>
          </w:rPr>
          <w:t>6</w:t>
        </w:r>
        <w:r>
          <w:rPr>
            <w:noProof/>
            <w:webHidden/>
          </w:rPr>
          <w:fldChar w:fldCharType="end"/>
        </w:r>
      </w:hyperlink>
    </w:p>
    <w:p w14:paraId="5F021B55" w14:textId="51B2C26A"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5" w:history="1">
        <w:r w:rsidRPr="00B43351">
          <w:rPr>
            <w:rStyle w:val="Hyperlink"/>
            <w:noProof/>
            <w:lang w:val="en-GB"/>
          </w:rPr>
          <w:t>Feedback to external examiners</w:t>
        </w:r>
        <w:r>
          <w:rPr>
            <w:noProof/>
            <w:webHidden/>
          </w:rPr>
          <w:tab/>
        </w:r>
        <w:r>
          <w:rPr>
            <w:noProof/>
            <w:webHidden/>
          </w:rPr>
          <w:fldChar w:fldCharType="begin"/>
        </w:r>
        <w:r>
          <w:rPr>
            <w:noProof/>
            <w:webHidden/>
          </w:rPr>
          <w:instrText xml:space="preserve"> PAGEREF _Toc172282925 \h </w:instrText>
        </w:r>
        <w:r>
          <w:rPr>
            <w:noProof/>
            <w:webHidden/>
          </w:rPr>
        </w:r>
        <w:r>
          <w:rPr>
            <w:noProof/>
            <w:webHidden/>
          </w:rPr>
          <w:fldChar w:fldCharType="separate"/>
        </w:r>
        <w:r>
          <w:rPr>
            <w:noProof/>
            <w:webHidden/>
          </w:rPr>
          <w:t>7</w:t>
        </w:r>
        <w:r>
          <w:rPr>
            <w:noProof/>
            <w:webHidden/>
          </w:rPr>
          <w:fldChar w:fldCharType="end"/>
        </w:r>
      </w:hyperlink>
    </w:p>
    <w:p w14:paraId="6EDF68F0" w14:textId="0A7BF137" w:rsidR="006F2224" w:rsidRDefault="006F2224">
      <w:pPr>
        <w:pStyle w:val="TOC2"/>
        <w:tabs>
          <w:tab w:val="right" w:leader="dot" w:pos="9016"/>
        </w:tabs>
        <w:rPr>
          <w:rFonts w:asciiTheme="minorHAnsi" w:eastAsiaTheme="minorEastAsia" w:hAnsiTheme="minorHAnsi" w:cstheme="minorBidi"/>
          <w:noProof/>
          <w:snapToGrid/>
          <w:sz w:val="22"/>
          <w:szCs w:val="22"/>
          <w:lang w:val="en-GB" w:eastAsia="en-GB"/>
        </w:rPr>
      </w:pPr>
      <w:hyperlink w:anchor="_Toc172282926" w:history="1">
        <w:r w:rsidRPr="00B43351">
          <w:rPr>
            <w:rStyle w:val="Hyperlink"/>
            <w:noProof/>
            <w:lang w:val="en-GB"/>
          </w:rPr>
          <w:t>Data protection, freedom of information and copyright</w:t>
        </w:r>
        <w:r>
          <w:rPr>
            <w:noProof/>
            <w:webHidden/>
          </w:rPr>
          <w:tab/>
        </w:r>
        <w:r>
          <w:rPr>
            <w:noProof/>
            <w:webHidden/>
          </w:rPr>
          <w:fldChar w:fldCharType="begin"/>
        </w:r>
        <w:r>
          <w:rPr>
            <w:noProof/>
            <w:webHidden/>
          </w:rPr>
          <w:instrText xml:space="preserve"> PAGEREF _Toc172282926 \h </w:instrText>
        </w:r>
        <w:r>
          <w:rPr>
            <w:noProof/>
            <w:webHidden/>
          </w:rPr>
        </w:r>
        <w:r>
          <w:rPr>
            <w:noProof/>
            <w:webHidden/>
          </w:rPr>
          <w:fldChar w:fldCharType="separate"/>
        </w:r>
        <w:r>
          <w:rPr>
            <w:noProof/>
            <w:webHidden/>
          </w:rPr>
          <w:t>7</w:t>
        </w:r>
        <w:r>
          <w:rPr>
            <w:noProof/>
            <w:webHidden/>
          </w:rPr>
          <w:fldChar w:fldCharType="end"/>
        </w:r>
      </w:hyperlink>
    </w:p>
    <w:p w14:paraId="2DC35FB4" w14:textId="17C9AB22" w:rsidR="005B349B" w:rsidRPr="002B1AEB" w:rsidRDefault="005B349B">
      <w:r w:rsidRPr="002B1AEB">
        <w:rPr>
          <w:b/>
          <w:bCs/>
          <w:noProof/>
        </w:rPr>
        <w:fldChar w:fldCharType="end"/>
      </w:r>
    </w:p>
    <w:p w14:paraId="64A6EEA8" w14:textId="77777777" w:rsidR="00386CC3" w:rsidRDefault="00386CC3" w:rsidP="005B349B">
      <w:pPr>
        <w:pStyle w:val="Heading1"/>
        <w:sectPr w:rsidR="00386CC3" w:rsidSect="007110B4">
          <w:headerReference w:type="default" r:id="rId12"/>
          <w:footerReference w:type="default" r:id="rId13"/>
          <w:pgSz w:w="11906" w:h="16838"/>
          <w:pgMar w:top="1440" w:right="1440" w:bottom="993" w:left="1440" w:header="708" w:footer="0" w:gutter="0"/>
          <w:cols w:space="708"/>
          <w:docGrid w:linePitch="360"/>
        </w:sectPr>
      </w:pPr>
    </w:p>
    <w:p w14:paraId="71B605B9" w14:textId="260F8F8F" w:rsidR="0046369F" w:rsidRPr="002B1AEB" w:rsidRDefault="0046369F" w:rsidP="005B349B">
      <w:pPr>
        <w:pStyle w:val="Heading1"/>
      </w:pPr>
      <w:r w:rsidRPr="002B1AEB">
        <w:lastRenderedPageBreak/>
        <w:fldChar w:fldCharType="begin"/>
      </w:r>
      <w:r w:rsidRPr="002B1AEB">
        <w:instrText xml:space="preserve"> XE "External Examiners:EE" </w:instrText>
      </w:r>
      <w:r w:rsidRPr="002B1AEB">
        <w:fldChar w:fldCharType="end"/>
      </w:r>
      <w:bookmarkStart w:id="8" w:name="_Toc172282911"/>
      <w:r w:rsidRPr="002B1AEB">
        <w:rPr>
          <w:lang w:val="en-GB"/>
        </w:rPr>
        <w:t xml:space="preserve">The </w:t>
      </w:r>
      <w:r w:rsidR="00CF1AF1" w:rsidRPr="002B1AEB">
        <w:rPr>
          <w:lang w:val="en-GB"/>
        </w:rPr>
        <w:t>Role of the Subject External Examiner</w:t>
      </w:r>
      <w:bookmarkEnd w:id="8"/>
      <w:r w:rsidR="00CF1AF1" w:rsidRPr="002B1AEB">
        <w:rPr>
          <w:lang w:val="en-GB"/>
        </w:rPr>
        <w:t xml:space="preserve"> </w:t>
      </w:r>
    </w:p>
    <w:p w14:paraId="1AA75400" w14:textId="240365EB" w:rsidR="00F27F85" w:rsidRDefault="00CF1AF1" w:rsidP="004E7D46">
      <w:r w:rsidRPr="00386CC3">
        <w:t xml:space="preserve">The </w:t>
      </w:r>
      <w:r w:rsidR="009768C8" w:rsidRPr="00386CC3">
        <w:t xml:space="preserve">role of the </w:t>
      </w:r>
      <w:r w:rsidRPr="00386CC3">
        <w:t>subject external examiner</w:t>
      </w:r>
      <w:r w:rsidR="009768C8" w:rsidRPr="00386CC3">
        <w:t xml:space="preserve"> is</w:t>
      </w:r>
      <w:r w:rsidRPr="00386CC3">
        <w:t xml:space="preserve"> to advise the University on whether the academic standards of its modules are consistent with the standards defined by the University, the </w:t>
      </w:r>
      <w:r w:rsidR="002B2CA4" w:rsidRPr="00386CC3">
        <w:t>Sector Recognised Standards,</w:t>
      </w:r>
      <w:r w:rsidRPr="00386CC3">
        <w:t xml:space="preserve"> the standards of similar provision in the UK higher education sector and the standards required by professional, statutory and regulatory bodies</w:t>
      </w:r>
      <w:r w:rsidR="009768C8" w:rsidRPr="00386CC3">
        <w:t>.</w:t>
      </w:r>
      <w:r w:rsidR="00F27F85">
        <w:t xml:space="preserve"> </w:t>
      </w:r>
      <w:r w:rsidR="005666AF">
        <w:t>Each s</w:t>
      </w:r>
      <w:r w:rsidR="00F27F85">
        <w:t>ubject external examiner</w:t>
      </w:r>
      <w:r w:rsidR="005666AF">
        <w:t xml:space="preserve"> should be</w:t>
      </w:r>
      <w:r w:rsidR="00F27F85">
        <w:t xml:space="preserve"> assigned approximately </w:t>
      </w:r>
      <w:r w:rsidR="005666AF">
        <w:t>8 modules</w:t>
      </w:r>
      <w:r w:rsidR="005C0506">
        <w:t xml:space="preserve"> for </w:t>
      </w:r>
      <w:r w:rsidR="009D1A84">
        <w:t>audit</w:t>
      </w:r>
      <w:r w:rsidR="005666AF">
        <w:t xml:space="preserve">. </w:t>
      </w:r>
      <w:r w:rsidR="005666AF" w:rsidRPr="005666AF">
        <w:t xml:space="preserve">Some </w:t>
      </w:r>
      <w:r w:rsidR="00D11C3A">
        <w:t xml:space="preserve">of those </w:t>
      </w:r>
      <w:r w:rsidR="005666AF" w:rsidRPr="005666AF">
        <w:t xml:space="preserve">modules </w:t>
      </w:r>
      <w:r w:rsidR="00847671">
        <w:t xml:space="preserve">may be franchised out to collaborative partners or delivered in multiple intakes. </w:t>
      </w:r>
      <w:r w:rsidR="005666AF" w:rsidRPr="005666AF">
        <w:t>The module</w:t>
      </w:r>
      <w:r w:rsidR="00847671">
        <w:t xml:space="preserve"> allocation</w:t>
      </w:r>
      <w:r w:rsidR="005666AF" w:rsidRPr="005666AF">
        <w:t xml:space="preserve"> </w:t>
      </w:r>
      <w:r w:rsidR="00EE32AA">
        <w:t xml:space="preserve">should </w:t>
      </w:r>
      <w:r w:rsidR="005666AF" w:rsidRPr="005666AF">
        <w:t>be reviewed annually by the faculty in liaison with the external examiner and may be subject to change e.g. where optional modules do not run, or an existing module is franchised out to a new partner.</w:t>
      </w:r>
    </w:p>
    <w:p w14:paraId="6B379FF9" w14:textId="2F2170A9" w:rsidR="009768C8" w:rsidRPr="00386CC3" w:rsidRDefault="009768C8" w:rsidP="006F2224">
      <w:pPr>
        <w:pStyle w:val="Heading2"/>
        <w:rPr>
          <w:lang w:val="en-GB"/>
        </w:rPr>
      </w:pPr>
      <w:bookmarkStart w:id="9" w:name="_Toc172282912"/>
      <w:r w:rsidRPr="00386CC3">
        <w:rPr>
          <w:lang w:val="en-GB"/>
        </w:rPr>
        <w:t>Consultation on draft assessments (coursework briefs and examination papers)</w:t>
      </w:r>
      <w:r w:rsidR="004E7D46">
        <w:rPr>
          <w:lang w:val="en-GB"/>
        </w:rPr>
        <w:t>.</w:t>
      </w:r>
      <w:bookmarkEnd w:id="9"/>
    </w:p>
    <w:p w14:paraId="52E93CE6" w14:textId="30EBE122" w:rsidR="009768C8" w:rsidRPr="002B1AEB" w:rsidRDefault="0028654E" w:rsidP="6BA606F6">
      <w:r w:rsidRPr="6BA606F6">
        <w:t>Subject e</w:t>
      </w:r>
      <w:r w:rsidR="009768C8" w:rsidRPr="6BA606F6">
        <w:t xml:space="preserve">xternal examiners should be invited to comment on all draft assessments (coursework briefs and examination papers*) that comprise the major elements of assessment associated with a module and contribute to classification. </w:t>
      </w:r>
      <w:r w:rsidRPr="6BA606F6">
        <w:t>Subject e</w:t>
      </w:r>
      <w:r w:rsidR="009768C8" w:rsidRPr="6BA606F6">
        <w:t xml:space="preserve">xternal examiners should be invited to comment by a specified date that allows the timely publication of coursework briefs to students and the timely presentation of examination papers to the Examinations section for processing. Draft assessments should be accompanied by model answers (where appropriate) and marking criteria. If no comments are received from the external examiner, the draft assessments (coursework and exams) will remain unchanged. </w:t>
      </w:r>
      <w:r w:rsidRPr="6BA606F6">
        <w:t>Subject e</w:t>
      </w:r>
      <w:r w:rsidR="009768C8" w:rsidRPr="6BA606F6">
        <w:t xml:space="preserve">xternal </w:t>
      </w:r>
      <w:r w:rsidR="00E01791" w:rsidRPr="6BA606F6">
        <w:t>e</w:t>
      </w:r>
      <w:r w:rsidR="009768C8" w:rsidRPr="6BA606F6">
        <w:t xml:space="preserve">xaminers are not required to approve any draft assessments.  </w:t>
      </w:r>
    </w:p>
    <w:p w14:paraId="10F20F87" w14:textId="12099A58" w:rsidR="009768C8" w:rsidRPr="002B1AEB" w:rsidRDefault="009768C8" w:rsidP="008207E1">
      <w:pPr>
        <w:rPr>
          <w:i/>
          <w:lang w:val="en-GB"/>
        </w:rPr>
      </w:pPr>
      <w:r w:rsidRPr="002B1AEB">
        <w:rPr>
          <w:i/>
          <w:lang w:val="en-GB"/>
        </w:rPr>
        <w:t xml:space="preserve">*In the case of accredited programmes, PSRB requirements will prevail. </w:t>
      </w:r>
    </w:p>
    <w:p w14:paraId="314A747A" w14:textId="4A7239C7" w:rsidR="00CF1AF1" w:rsidRPr="002B1AEB" w:rsidRDefault="00CF1AF1" w:rsidP="008207E1">
      <w:pPr>
        <w:pStyle w:val="Heading2"/>
        <w:rPr>
          <w:lang w:val="en-GB"/>
        </w:rPr>
      </w:pPr>
      <w:bookmarkStart w:id="10" w:name="_Toc172282913"/>
      <w:r w:rsidRPr="002B1AEB">
        <w:rPr>
          <w:lang w:val="en-GB"/>
        </w:rPr>
        <w:t>The audit of assessed work</w:t>
      </w:r>
      <w:bookmarkEnd w:id="10"/>
    </w:p>
    <w:p w14:paraId="4A0BF5A3" w14:textId="349AE33C" w:rsidR="002927C7" w:rsidRPr="002B1AEB" w:rsidRDefault="0028654E" w:rsidP="008207E1">
      <w:pPr>
        <w:rPr>
          <w:lang w:val="en-GB"/>
        </w:rPr>
      </w:pPr>
      <w:r w:rsidRPr="002B1AEB">
        <w:t>Subject e</w:t>
      </w:r>
      <w:r w:rsidR="002927C7" w:rsidRPr="002B1AEB">
        <w:t xml:space="preserve">xternal examiners are expected to audit </w:t>
      </w:r>
      <w:r w:rsidR="00D31EDA">
        <w:t xml:space="preserve">a </w:t>
      </w:r>
      <w:r w:rsidR="002927C7" w:rsidRPr="002B1AEB">
        <w:t xml:space="preserve">sample </w:t>
      </w:r>
      <w:r w:rsidR="008C19CA">
        <w:t>of</w:t>
      </w:r>
      <w:r w:rsidR="002927C7" w:rsidRPr="002B1AEB">
        <w:t xml:space="preserve"> student work for all modules at levels 5, 6 and 7. The sample for each module must include all elements of assessment.</w:t>
      </w:r>
      <w:r w:rsidR="00C429AB" w:rsidRPr="002B1AEB">
        <w:t xml:space="preserve"> Subject external examiners would only be expected to audit sample student work from new level 4 modules in the first year of delivery of a new</w:t>
      </w:r>
      <w:r w:rsidR="00C073F1">
        <w:t>ly validated</w:t>
      </w:r>
      <w:r w:rsidR="00C429AB" w:rsidRPr="002B1AEB">
        <w:t xml:space="preserve"> course or where required by a professional, statutory and regulatory body. If any risk to standards is identified, existing subject external examiners may be allocated level 4 modules as part of any wider remedial action identified through our quality assurance and enhancement processes.</w:t>
      </w:r>
    </w:p>
    <w:p w14:paraId="435F47A3" w14:textId="79F3CAEA" w:rsidR="004E42D9" w:rsidRPr="002B1AEB" w:rsidRDefault="00885F23" w:rsidP="008207E1">
      <w:pPr>
        <w:rPr>
          <w:rFonts w:cs="Arial"/>
          <w:lang w:val="en-GB"/>
        </w:rPr>
      </w:pPr>
      <w:r w:rsidRPr="002B1AEB">
        <w:rPr>
          <w:lang w:val="en-GB"/>
        </w:rPr>
        <w:t>Assessed work of an ephemeral nature (presentations, performances etc.) must also be audited by a</w:t>
      </w:r>
      <w:r w:rsidR="0028654E" w:rsidRPr="002B1AEB">
        <w:rPr>
          <w:lang w:val="en-GB"/>
        </w:rPr>
        <w:t xml:space="preserve"> subject </w:t>
      </w:r>
      <w:r w:rsidRPr="002B1AEB">
        <w:rPr>
          <w:lang w:val="en-GB"/>
        </w:rPr>
        <w:t xml:space="preserve">external examiner regardless of its weighting within a module. A sample of work matching the requirements for written work should either be witnessed by the external </w:t>
      </w:r>
      <w:r w:rsidR="00A37841" w:rsidRPr="002B1AEB">
        <w:rPr>
          <w:lang w:val="en-GB"/>
        </w:rPr>
        <w:t>examiner or</w:t>
      </w:r>
      <w:r w:rsidRPr="002B1AEB">
        <w:rPr>
          <w:lang w:val="en-GB"/>
        </w:rPr>
        <w:t xml:space="preserve"> should be recorded and sent to the external examin</w:t>
      </w:r>
      <w:r w:rsidR="00797A27">
        <w:rPr>
          <w:lang w:val="en-GB"/>
        </w:rPr>
        <w:t>er</w:t>
      </w:r>
      <w:r w:rsidRPr="002B1AEB">
        <w:rPr>
          <w:lang w:val="en-GB"/>
        </w:rPr>
        <w:t xml:space="preserve"> for audit. In exceptional cases, where external examiners cannot attend and where, for ethical reasons, it is not appropriate to record (</w:t>
      </w:r>
      <w:r w:rsidR="005D6605" w:rsidRPr="002B1AEB">
        <w:rPr>
          <w:lang w:val="en-GB"/>
        </w:rPr>
        <w:t>e.g.,</w:t>
      </w:r>
      <w:r w:rsidRPr="002B1AEB">
        <w:rPr>
          <w:lang w:val="en-GB"/>
        </w:rPr>
        <w:t xml:space="preserve"> for confidentiality reasons in healthcare), then a summary of the moderation procedures used and of the discussions between marker and moderator should be supplied to the external examiner. </w:t>
      </w:r>
    </w:p>
    <w:p w14:paraId="18752E94" w14:textId="2DBD6CB0" w:rsidR="00B678C4" w:rsidRDefault="0028654E" w:rsidP="008207E1">
      <w:pPr>
        <w:rPr>
          <w:rFonts w:cs="Arial"/>
          <w:bCs/>
          <w:lang w:val="en-GB"/>
        </w:rPr>
      </w:pPr>
      <w:r w:rsidRPr="002B1AEB">
        <w:rPr>
          <w:rFonts w:cs="Arial"/>
          <w:lang w:val="en-GB"/>
        </w:rPr>
        <w:t>Subject e</w:t>
      </w:r>
      <w:r w:rsidR="00885F23" w:rsidRPr="002B1AEB">
        <w:rPr>
          <w:rFonts w:cs="Arial"/>
          <w:lang w:val="en-GB"/>
        </w:rPr>
        <w:t xml:space="preserve">xternal examiners are provided with the internally moderated sample of work from each classification (including borderlines and marginal fails) and </w:t>
      </w:r>
      <w:r w:rsidR="00885F23" w:rsidRPr="002B1AEB">
        <w:rPr>
          <w:rFonts w:cs="Arial"/>
          <w:lang w:val="en-GB"/>
        </w:rPr>
        <w:lastRenderedPageBreak/>
        <w:t>representing all sites of delivery.</w:t>
      </w:r>
      <w:r w:rsidR="00885F23" w:rsidRPr="002B1AEB">
        <w:rPr>
          <w:lang w:val="en-GB"/>
        </w:rPr>
        <w:t xml:space="preserve"> </w:t>
      </w:r>
      <w:r w:rsidR="00885F23" w:rsidRPr="002B1AEB">
        <w:rPr>
          <w:rFonts w:cs="Arial"/>
          <w:lang w:val="en-GB"/>
        </w:rPr>
        <w:t xml:space="preserve">The percentage of work shall reflect the number of students completing a particular assessment </w:t>
      </w:r>
      <w:r w:rsidR="003278AC" w:rsidRPr="002B1AEB">
        <w:rPr>
          <w:rFonts w:cs="Arial"/>
          <w:lang w:val="en-GB"/>
        </w:rPr>
        <w:t>but, in all cases,</w:t>
      </w:r>
      <w:r w:rsidR="00885F23" w:rsidRPr="002B1AEB">
        <w:rPr>
          <w:rFonts w:cs="Arial"/>
          <w:lang w:val="en-GB"/>
        </w:rPr>
        <w:t xml:space="preserve"> shall meet the minimum of 10%</w:t>
      </w:r>
      <w:r w:rsidR="00C66605">
        <w:rPr>
          <w:rFonts w:cs="Arial"/>
          <w:lang w:val="en-GB"/>
        </w:rPr>
        <w:t xml:space="preserve"> of submitted assessments</w:t>
      </w:r>
      <w:r w:rsidR="00885F23" w:rsidRPr="002B1AEB">
        <w:rPr>
          <w:rFonts w:cs="Arial"/>
          <w:bCs/>
          <w:lang w:val="en-GB"/>
        </w:rPr>
        <w:t xml:space="preserve">. </w:t>
      </w:r>
      <w:r w:rsidR="00885F23" w:rsidRPr="002B1AEB">
        <w:rPr>
          <w:rFonts w:cs="Arial"/>
          <w:lang w:val="en-GB"/>
        </w:rPr>
        <w:t xml:space="preserve">The minimum sample size is normally 6 and the maximum sample size is 20. This amount may need to be exceeded where provision is franchised to </w:t>
      </w:r>
      <w:r w:rsidR="00A820C3">
        <w:rPr>
          <w:rFonts w:cs="Arial"/>
          <w:lang w:val="en-GB"/>
        </w:rPr>
        <w:t>more than one collaborative</w:t>
      </w:r>
      <w:r w:rsidR="00A820C3" w:rsidRPr="002B1AEB">
        <w:rPr>
          <w:rFonts w:cs="Arial"/>
          <w:lang w:val="en-GB"/>
        </w:rPr>
        <w:t xml:space="preserve"> </w:t>
      </w:r>
      <w:r w:rsidR="00885F23" w:rsidRPr="002B1AEB">
        <w:rPr>
          <w:rFonts w:cs="Arial"/>
          <w:lang w:val="en-GB"/>
        </w:rPr>
        <w:t>partner</w:t>
      </w:r>
      <w:r w:rsidR="005B4D9D">
        <w:rPr>
          <w:rFonts w:cs="Arial"/>
          <w:lang w:val="en-GB"/>
        </w:rPr>
        <w:t xml:space="preserve"> or where modules are delivered in multiple intakes,</w:t>
      </w:r>
      <w:r w:rsidR="00885F23" w:rsidRPr="002B1AEB">
        <w:rPr>
          <w:rFonts w:cs="Arial"/>
          <w:lang w:val="en-GB"/>
        </w:rPr>
        <w:t xml:space="preserve"> to ensure the sample meets the requirements </w:t>
      </w:r>
      <w:r w:rsidR="00D0201C">
        <w:rPr>
          <w:rFonts w:cs="Arial"/>
          <w:lang w:val="en-GB"/>
        </w:rPr>
        <w:t>below</w:t>
      </w:r>
      <w:r w:rsidR="00885F23" w:rsidRPr="002B1AEB">
        <w:rPr>
          <w:rFonts w:cs="Arial"/>
          <w:lang w:val="en-GB"/>
        </w:rPr>
        <w:t>.</w:t>
      </w:r>
    </w:p>
    <w:p w14:paraId="34ED8550" w14:textId="5CB4498C" w:rsidR="0046369F" w:rsidRPr="002B1AEB" w:rsidRDefault="00033134" w:rsidP="008207E1">
      <w:pPr>
        <w:rPr>
          <w:rFonts w:cs="Arial"/>
          <w:bCs/>
          <w:lang w:val="en-GB"/>
        </w:rPr>
      </w:pPr>
      <w:r>
        <w:rPr>
          <w:rFonts w:cs="Arial"/>
          <w:bCs/>
          <w:lang w:val="en-GB"/>
        </w:rPr>
        <w:t xml:space="preserve">Where external examiners are assigned to modules delivered at more than one partner, or </w:t>
      </w:r>
      <w:r w:rsidR="00C1084C">
        <w:rPr>
          <w:rFonts w:cs="Arial"/>
          <w:bCs/>
          <w:lang w:val="en-GB"/>
        </w:rPr>
        <w:t>where there are multiple intakes of the same module,</w:t>
      </w:r>
      <w:r w:rsidR="00A156A2">
        <w:rPr>
          <w:rFonts w:cs="Arial"/>
          <w:bCs/>
          <w:lang w:val="en-GB"/>
        </w:rPr>
        <w:t xml:space="preserve"> the</w:t>
      </w:r>
      <w:r w:rsidR="00113270">
        <w:rPr>
          <w:rFonts w:cs="Arial"/>
          <w:bCs/>
          <w:lang w:val="en-GB"/>
        </w:rPr>
        <w:t xml:space="preserve"> external examiner </w:t>
      </w:r>
      <w:r w:rsidR="00991CF5">
        <w:rPr>
          <w:rFonts w:cs="Arial"/>
          <w:bCs/>
          <w:lang w:val="en-GB"/>
        </w:rPr>
        <w:t>may be asked</w:t>
      </w:r>
      <w:r w:rsidR="0021126F">
        <w:rPr>
          <w:rFonts w:cs="Arial"/>
          <w:bCs/>
          <w:lang w:val="en-GB"/>
        </w:rPr>
        <w:t xml:space="preserve"> to audit more than the </w:t>
      </w:r>
      <w:r w:rsidR="00EE0F44">
        <w:rPr>
          <w:rFonts w:cs="Arial"/>
          <w:bCs/>
          <w:lang w:val="en-GB"/>
        </w:rPr>
        <w:t>maximum</w:t>
      </w:r>
      <w:r w:rsidR="00D917FD">
        <w:rPr>
          <w:rFonts w:cs="Arial"/>
          <w:bCs/>
          <w:lang w:val="en-GB"/>
        </w:rPr>
        <w:t xml:space="preserve"> sample size of 20 pieces of student work to ensure that the sample is representative of all delivery sites and </w:t>
      </w:r>
      <w:r w:rsidR="00EE0F44">
        <w:rPr>
          <w:rFonts w:cs="Arial"/>
          <w:bCs/>
          <w:lang w:val="en-GB"/>
        </w:rPr>
        <w:t>proportional to</w:t>
      </w:r>
      <w:r w:rsidR="00D917FD">
        <w:rPr>
          <w:rFonts w:cs="Arial"/>
          <w:bCs/>
          <w:lang w:val="en-GB"/>
        </w:rPr>
        <w:t xml:space="preserve"> the total number of students </w:t>
      </w:r>
      <w:r w:rsidR="00EE0F44">
        <w:rPr>
          <w:rFonts w:cs="Arial"/>
          <w:bCs/>
          <w:lang w:val="en-GB"/>
        </w:rPr>
        <w:t>on each occurrence of the module.</w:t>
      </w:r>
      <w:r w:rsidR="00B57837">
        <w:rPr>
          <w:rFonts w:cs="Arial"/>
          <w:bCs/>
          <w:lang w:val="en-GB"/>
        </w:rPr>
        <w:t xml:space="preserve"> For each additional occurrence of the module</w:t>
      </w:r>
      <w:r w:rsidR="00E42DEA">
        <w:rPr>
          <w:rFonts w:cs="Arial"/>
          <w:bCs/>
          <w:lang w:val="en-GB"/>
        </w:rPr>
        <w:t xml:space="preserve">, </w:t>
      </w:r>
      <w:r w:rsidR="00B57837">
        <w:rPr>
          <w:rFonts w:cs="Arial"/>
          <w:bCs/>
          <w:lang w:val="en-GB"/>
        </w:rPr>
        <w:t xml:space="preserve">the maximum sample size </w:t>
      </w:r>
      <w:r w:rsidR="00F55757">
        <w:rPr>
          <w:rFonts w:cs="Arial"/>
          <w:bCs/>
          <w:lang w:val="en-GB"/>
        </w:rPr>
        <w:t>may increase by no more than 10 additional pieces of student work</w:t>
      </w:r>
      <w:r w:rsidR="00E42DEA">
        <w:rPr>
          <w:rFonts w:cs="Arial"/>
          <w:bCs/>
          <w:lang w:val="en-GB"/>
        </w:rPr>
        <w:t xml:space="preserve"> and must not exceed 40 scripts</w:t>
      </w:r>
      <w:r w:rsidR="00F55757">
        <w:rPr>
          <w:rFonts w:cs="Arial"/>
          <w:bCs/>
          <w:lang w:val="en-GB"/>
        </w:rPr>
        <w:t>.</w:t>
      </w:r>
    </w:p>
    <w:p w14:paraId="46266BEB" w14:textId="18BD35C2" w:rsidR="0046369F" w:rsidRDefault="0028654E" w:rsidP="008207E1">
      <w:pPr>
        <w:rPr>
          <w:rFonts w:cs="Arial"/>
          <w:lang w:val="en-GB"/>
        </w:rPr>
      </w:pPr>
      <w:r w:rsidRPr="002B1AEB">
        <w:rPr>
          <w:rFonts w:cs="Arial"/>
          <w:lang w:val="en-GB"/>
        </w:rPr>
        <w:t>Subject external e</w:t>
      </w:r>
      <w:r w:rsidR="00885F23" w:rsidRPr="002B1AEB">
        <w:rPr>
          <w:rFonts w:cs="Arial"/>
          <w:lang w:val="en-GB"/>
        </w:rPr>
        <w:t xml:space="preserve">xaminers should also receive: the full range of marks within a module to see if the samples are representative of the spread of marks and </w:t>
      </w:r>
      <w:r w:rsidR="00962384">
        <w:rPr>
          <w:rFonts w:cs="Arial"/>
          <w:lang w:val="en-GB"/>
        </w:rPr>
        <w:t xml:space="preserve">key module </w:t>
      </w:r>
      <w:r w:rsidR="00885F23" w:rsidRPr="002B1AEB">
        <w:rPr>
          <w:rFonts w:cs="Arial"/>
          <w:lang w:val="en-GB"/>
        </w:rPr>
        <w:t>statistics (number of students, pass rate, mean mark, number in each classification band) to enable easier identification of modules that fall outside the norm.</w:t>
      </w:r>
      <w:r w:rsidR="007C054A">
        <w:rPr>
          <w:rFonts w:cs="Arial"/>
          <w:lang w:val="en-GB"/>
        </w:rPr>
        <w:t xml:space="preserve"> </w:t>
      </w:r>
      <w:r w:rsidR="00885F23" w:rsidRPr="002B1AEB">
        <w:rPr>
          <w:rFonts w:cs="Arial"/>
          <w:lang w:val="en-GB"/>
        </w:rPr>
        <w:t xml:space="preserve">The guiding principle should be that external examiners have sufficient assessments and related information to assure themselves that internal marking and the resultant classification of awards are of an appropriate and consistent standard. </w:t>
      </w:r>
    </w:p>
    <w:p w14:paraId="02AF7AC9" w14:textId="5C76AB49" w:rsidR="00575C1C" w:rsidRPr="00616260" w:rsidRDefault="00B35596" w:rsidP="008207E1">
      <w:pPr>
        <w:rPr>
          <w:rFonts w:cs="Arial"/>
          <w:snapToGrid/>
          <w:sz w:val="28"/>
          <w:szCs w:val="22"/>
          <w:lang w:val="en-GB" w:eastAsia="en-GB"/>
        </w:rPr>
      </w:pPr>
      <w:r w:rsidRPr="0005393E">
        <w:t>External examiners should receive the</w:t>
      </w:r>
      <w:r>
        <w:t xml:space="preserve"> internally moderated</w:t>
      </w:r>
      <w:r w:rsidRPr="0005393E">
        <w:t xml:space="preserve"> sample of </w:t>
      </w:r>
      <w:r>
        <w:t xml:space="preserve">student </w:t>
      </w:r>
      <w:r w:rsidRPr="0005393E">
        <w:t>work</w:t>
      </w:r>
      <w:r>
        <w:t xml:space="preserve"> </w:t>
      </w:r>
      <w:r w:rsidRPr="0005393E">
        <w:t xml:space="preserve">prior to </w:t>
      </w:r>
      <w:r>
        <w:t>ratification of the module marks on OSIS</w:t>
      </w:r>
      <w:r w:rsidRPr="0005393E">
        <w:t>, or at the latest within 5 university working days of ratification.</w:t>
      </w:r>
      <w:r>
        <w:t xml:space="preserve"> If an external examiner does not receive the sample of work for one or more of their modules as expected, they should specify the module(s) for which they did not receive the sample(s) in their annual report. If, following further discussion with the relevant faculty colleagues, it is confirmed that a sample of work was not sent to the external examiner in accordance with university policy, it will be referred to the next faculty KCEP review meeting for members to agree the appropriate course of action.</w:t>
      </w:r>
      <w:r w:rsidR="004415B1">
        <w:t xml:space="preserve"> </w:t>
      </w:r>
      <w:r w:rsidR="00575C1C" w:rsidRPr="00616260">
        <w:rPr>
          <w:rFonts w:cs="Arial"/>
          <w:szCs w:val="24"/>
        </w:rPr>
        <w:t>Subject external examiners may wish to meet with students as part of their role. Where possible, such requests will be fulfilled by a member of academic staff who will also attend the meeting.</w:t>
      </w:r>
    </w:p>
    <w:p w14:paraId="11D217D8" w14:textId="77777777" w:rsidR="0046369F" w:rsidRPr="002B1AEB" w:rsidRDefault="0046369F" w:rsidP="008207E1">
      <w:pPr>
        <w:pStyle w:val="Heading2"/>
        <w:rPr>
          <w:iCs w:val="0"/>
          <w:lang w:val="en-GB"/>
        </w:rPr>
      </w:pPr>
      <w:bookmarkStart w:id="11" w:name="_Hlk89162270"/>
      <w:bookmarkStart w:id="12" w:name="_Toc172282914"/>
      <w:r w:rsidRPr="002B1AEB">
        <w:rPr>
          <w:iCs w:val="0"/>
          <w:lang w:val="en-GB"/>
        </w:rPr>
        <w:t>Viva-voce examinations</w:t>
      </w:r>
      <w:bookmarkEnd w:id="11"/>
      <w:bookmarkEnd w:id="12"/>
    </w:p>
    <w:p w14:paraId="7089091B" w14:textId="72D58E18" w:rsidR="0046369F" w:rsidRDefault="00885F23" w:rsidP="3180AE77">
      <w:r>
        <w:t xml:space="preserve">Where viva voce examinations are part of the assessment process for students, </w:t>
      </w:r>
      <w:r w:rsidR="0028654E">
        <w:t xml:space="preserve">subject </w:t>
      </w:r>
      <w:r>
        <w:t>external examiners will either</w:t>
      </w:r>
      <w:r w:rsidR="0032290C">
        <w:t xml:space="preserve"> </w:t>
      </w:r>
      <w:r>
        <w:t>audit recordings or</w:t>
      </w:r>
      <w:r w:rsidR="0032290C">
        <w:t xml:space="preserve"> </w:t>
      </w:r>
      <w:r>
        <w:t>audit the documentary evidence e.g. viva sheet</w:t>
      </w:r>
      <w:r w:rsidR="00D2391F">
        <w:t xml:space="preserve">, presentation slides, </w:t>
      </w:r>
      <w:r w:rsidR="00655EF0">
        <w:t xml:space="preserve">marker/ moderator written </w:t>
      </w:r>
      <w:r w:rsidR="00D2391F">
        <w:t>feedback against the marking criteria</w:t>
      </w:r>
      <w:r w:rsidR="00666217">
        <w:t>.</w:t>
      </w:r>
    </w:p>
    <w:p w14:paraId="67C6907F" w14:textId="698560C6" w:rsidR="00085E7B" w:rsidRDefault="00087608" w:rsidP="003D3FD9">
      <w:pPr>
        <w:pStyle w:val="Heading2"/>
        <w:rPr>
          <w:lang w:val="en-GB"/>
        </w:rPr>
      </w:pPr>
      <w:bookmarkStart w:id="13" w:name="_Toc172282915"/>
      <w:r>
        <w:rPr>
          <w:lang w:val="en-GB"/>
        </w:rPr>
        <w:t>A</w:t>
      </w:r>
      <w:r w:rsidR="00085E7B">
        <w:rPr>
          <w:lang w:val="en-GB"/>
        </w:rPr>
        <w:t>udit of Erasmus modules</w:t>
      </w:r>
      <w:bookmarkEnd w:id="13"/>
    </w:p>
    <w:p w14:paraId="768B1B54" w14:textId="71EB9521" w:rsidR="00085E7B" w:rsidRDefault="00085E7B" w:rsidP="3180AE77">
      <w:pPr>
        <w:rPr>
          <w:rFonts w:cs="Arial"/>
        </w:rPr>
      </w:pPr>
      <w:r>
        <w:rPr>
          <w:rFonts w:cs="Arial"/>
        </w:rPr>
        <w:t>T</w:t>
      </w:r>
      <w:r w:rsidRPr="00263DAE">
        <w:rPr>
          <w:rFonts w:cs="Arial"/>
        </w:rPr>
        <w:t>here is no requirement for</w:t>
      </w:r>
      <w:r>
        <w:rPr>
          <w:rFonts w:cs="Arial"/>
        </w:rPr>
        <w:t xml:space="preserve"> subject</w:t>
      </w:r>
      <w:r w:rsidRPr="00263DAE">
        <w:rPr>
          <w:rFonts w:cs="Arial"/>
        </w:rPr>
        <w:t xml:space="preserve"> </w:t>
      </w:r>
      <w:r>
        <w:rPr>
          <w:rFonts w:cs="Arial"/>
        </w:rPr>
        <w:t>external examiners</w:t>
      </w:r>
      <w:r w:rsidRPr="00263DAE">
        <w:rPr>
          <w:rFonts w:cs="Arial"/>
        </w:rPr>
        <w:t xml:space="preserve"> to audit Erasmus</w:t>
      </w:r>
      <w:r>
        <w:rPr>
          <w:rFonts w:cs="Arial"/>
        </w:rPr>
        <w:t xml:space="preserve"> student</w:t>
      </w:r>
      <w:r w:rsidRPr="00263DAE">
        <w:rPr>
          <w:rFonts w:cs="Arial"/>
        </w:rPr>
        <w:t xml:space="preserve"> work separately if this is completed before the rest of the K</w:t>
      </w:r>
      <w:r>
        <w:rPr>
          <w:rFonts w:cs="Arial"/>
        </w:rPr>
        <w:t>ingston University</w:t>
      </w:r>
      <w:r w:rsidRPr="00263DAE">
        <w:rPr>
          <w:rFonts w:cs="Arial"/>
        </w:rPr>
        <w:t xml:space="preserve"> cohort</w:t>
      </w:r>
      <w:r>
        <w:rPr>
          <w:rFonts w:cs="Arial"/>
        </w:rPr>
        <w:t>,</w:t>
      </w:r>
      <w:r w:rsidRPr="00263DAE">
        <w:rPr>
          <w:rFonts w:cs="Arial"/>
        </w:rPr>
        <w:t xml:space="preserve"> unless such an arrangement is stipulated in the Erasmus contract with that particular institution. </w:t>
      </w:r>
      <w:r>
        <w:rPr>
          <w:rFonts w:cs="Arial"/>
        </w:rPr>
        <w:t>Standard marking and internal moderation processes still apply,</w:t>
      </w:r>
      <w:r w:rsidRPr="00263DAE">
        <w:rPr>
          <w:rFonts w:cs="Arial"/>
        </w:rPr>
        <w:t xml:space="preserve"> but </w:t>
      </w:r>
      <w:r w:rsidR="00BE5109">
        <w:rPr>
          <w:rFonts w:cs="Arial"/>
        </w:rPr>
        <w:t xml:space="preserve">earlier and </w:t>
      </w:r>
      <w:r w:rsidR="00490197">
        <w:rPr>
          <w:rFonts w:cs="Arial"/>
        </w:rPr>
        <w:t xml:space="preserve">separate moderation of Erasmus student work is not required as </w:t>
      </w:r>
      <w:r w:rsidRPr="00263DAE">
        <w:rPr>
          <w:rFonts w:cs="Arial"/>
        </w:rPr>
        <w:t>the</w:t>
      </w:r>
      <w:r w:rsidR="00BE5109">
        <w:rPr>
          <w:rFonts w:cs="Arial"/>
        </w:rPr>
        <w:t xml:space="preserve"> full</w:t>
      </w:r>
      <w:r w:rsidRPr="00263DAE">
        <w:rPr>
          <w:rFonts w:cs="Arial"/>
        </w:rPr>
        <w:t xml:space="preserve"> sample will be seen later in the year by the</w:t>
      </w:r>
      <w:r>
        <w:rPr>
          <w:rFonts w:cs="Arial"/>
        </w:rPr>
        <w:t xml:space="preserve"> subject</w:t>
      </w:r>
      <w:r w:rsidRPr="00263DAE">
        <w:rPr>
          <w:rFonts w:cs="Arial"/>
        </w:rPr>
        <w:t xml:space="preserve"> external</w:t>
      </w:r>
      <w:r>
        <w:rPr>
          <w:rFonts w:cs="Arial"/>
        </w:rPr>
        <w:t xml:space="preserve"> examiner and </w:t>
      </w:r>
      <w:r w:rsidRPr="00263DAE">
        <w:rPr>
          <w:rFonts w:cs="Arial"/>
        </w:rPr>
        <w:t>the home institution is the awarding body and will be awarding credit under their own system.</w:t>
      </w:r>
    </w:p>
    <w:p w14:paraId="7B9E4222" w14:textId="5291ECCA" w:rsidR="0023524C" w:rsidRDefault="00087608" w:rsidP="003D3FD9">
      <w:pPr>
        <w:pStyle w:val="Heading2"/>
      </w:pPr>
      <w:bookmarkStart w:id="14" w:name="_Toc172282916"/>
      <w:r>
        <w:lastRenderedPageBreak/>
        <w:t>A</w:t>
      </w:r>
      <w:r w:rsidR="0023524C">
        <w:t>udit of modules running across multiple programmes</w:t>
      </w:r>
      <w:bookmarkEnd w:id="14"/>
    </w:p>
    <w:p w14:paraId="75F3BFCB" w14:textId="112B2339" w:rsidR="0023524C" w:rsidRDefault="00D948C3" w:rsidP="0023524C">
      <w:pPr>
        <w:rPr>
          <w:rFonts w:ascii="Calibri" w:hAnsi="Calibri"/>
          <w:snapToGrid/>
          <w:sz w:val="22"/>
          <w:lang w:val="en-GB"/>
        </w:rPr>
      </w:pPr>
      <w:r w:rsidRPr="003D3FD9">
        <w:rPr>
          <w:szCs w:val="24"/>
        </w:rPr>
        <w:t xml:space="preserve">In principle, each module should be uniquely assigned to one </w:t>
      </w:r>
      <w:r w:rsidR="00D91F70">
        <w:rPr>
          <w:szCs w:val="24"/>
        </w:rPr>
        <w:t xml:space="preserve">subject </w:t>
      </w:r>
      <w:r w:rsidRPr="003D3FD9">
        <w:rPr>
          <w:szCs w:val="24"/>
        </w:rPr>
        <w:t xml:space="preserve">external examiner. </w:t>
      </w:r>
      <w:r w:rsidR="00F505BC" w:rsidRPr="00D948C3">
        <w:rPr>
          <w:szCs w:val="24"/>
        </w:rPr>
        <w:t xml:space="preserve">In the case of accredited courses, </w:t>
      </w:r>
      <w:r w:rsidR="007B388F" w:rsidRPr="00D948C3">
        <w:rPr>
          <w:szCs w:val="24"/>
        </w:rPr>
        <w:t>PSRB requirements will prevail</w:t>
      </w:r>
      <w:r w:rsidR="007B388F">
        <w:t xml:space="preserve"> e.g. some PSRBs require both an academic and practitioner external examiner to review student work. </w:t>
      </w:r>
    </w:p>
    <w:p w14:paraId="5A8EF104" w14:textId="71AD6822" w:rsidR="0023524C" w:rsidRPr="00D23C77" w:rsidRDefault="00081F95" w:rsidP="3180AE77">
      <w:r>
        <w:t xml:space="preserve">Where project, </w:t>
      </w:r>
      <w:r w:rsidR="0023524C">
        <w:t>dissertation or work placement module</w:t>
      </w:r>
      <w:r>
        <w:t>s</w:t>
      </w:r>
      <w:r w:rsidR="0023524C">
        <w:t xml:space="preserve"> span across multiple subject areas</w:t>
      </w:r>
      <w:r>
        <w:t xml:space="preserve">, it is recommended that </w:t>
      </w:r>
      <w:r w:rsidR="00C96052">
        <w:t xml:space="preserve">different occurrences of the modules are set up for each area of subject expertise so that the appropriate subject external examiner can be allocated to </w:t>
      </w:r>
      <w:r w:rsidR="00042B00">
        <w:t>each occurrence.</w:t>
      </w:r>
      <w:r w:rsidR="00916D28">
        <w:t xml:space="preserve"> Where this is not possibl</w:t>
      </w:r>
      <w:r w:rsidR="00322E4F">
        <w:t xml:space="preserve">e and there is only one module occurrence being reviewed by multiple subject external examiners, </w:t>
      </w:r>
      <w:r w:rsidR="00DD5E0F">
        <w:t>each</w:t>
      </w:r>
      <w:r w:rsidR="00C22867">
        <w:t xml:space="preserve"> </w:t>
      </w:r>
      <w:r w:rsidR="0062497C">
        <w:t>subject external examiner</w:t>
      </w:r>
      <w:r w:rsidR="00EA7E42">
        <w:t xml:space="preserve"> will audit relevant samples of th</w:t>
      </w:r>
      <w:r w:rsidR="00EE0EDA">
        <w:t>e module occurrence</w:t>
      </w:r>
      <w:r w:rsidR="003D2BDC">
        <w:t>.</w:t>
      </w:r>
      <w:r w:rsidR="00EE0EDA">
        <w:t xml:space="preserve"> </w:t>
      </w:r>
    </w:p>
    <w:p w14:paraId="542F38A9" w14:textId="30F3E983" w:rsidR="00427529" w:rsidRPr="002B1AEB" w:rsidRDefault="0046369F" w:rsidP="008207E1">
      <w:pPr>
        <w:pStyle w:val="Heading2"/>
        <w:rPr>
          <w:lang w:val="en-GB"/>
        </w:rPr>
      </w:pPr>
      <w:bookmarkStart w:id="15" w:name="_Toc172282917"/>
      <w:bookmarkStart w:id="16" w:name="_Hlk89162280"/>
      <w:r w:rsidRPr="002B1AEB">
        <w:rPr>
          <w:lang w:val="en-GB"/>
        </w:rPr>
        <w:t>Responsibili</w:t>
      </w:r>
      <w:r w:rsidR="00427529" w:rsidRPr="002B1AEB">
        <w:rPr>
          <w:lang w:val="en-GB"/>
        </w:rPr>
        <w:t>ty for agreeing marks and grades</w:t>
      </w:r>
      <w:bookmarkEnd w:id="15"/>
    </w:p>
    <w:bookmarkEnd w:id="16"/>
    <w:p w14:paraId="5EA8B081" w14:textId="19361900" w:rsidR="0046369F" w:rsidRPr="002B1AEB" w:rsidRDefault="0046369F" w:rsidP="008207E1">
      <w:pPr>
        <w:rPr>
          <w:lang w:val="en-GB"/>
        </w:rPr>
      </w:pPr>
      <w:r w:rsidRPr="6BA606F6">
        <w:rPr>
          <w:lang w:val="en-GB"/>
        </w:rPr>
        <w:t xml:space="preserve">The University has agreed that it is the responsibility of its academic staff, who are fulfilling the stated responsibility for maintaining the standards of awards, to determine the marks/grades to be awarded for assessed work. The University expects </w:t>
      </w:r>
      <w:r w:rsidR="0085623F" w:rsidRPr="6BA606F6">
        <w:rPr>
          <w:lang w:val="en-GB"/>
        </w:rPr>
        <w:t xml:space="preserve">subject </w:t>
      </w:r>
      <w:r w:rsidRPr="6BA606F6">
        <w:rPr>
          <w:lang w:val="en-GB"/>
        </w:rPr>
        <w:t xml:space="preserve">external examiners, in their independent auditor role, to advise the University on whether the standards set are appropriate, that the conclusions reached by internal examiners are fair and equitable, and that approved procedures have been followed. Consequently, the University does not expect </w:t>
      </w:r>
      <w:r w:rsidR="0085623F" w:rsidRPr="6BA606F6">
        <w:rPr>
          <w:lang w:val="en-GB"/>
        </w:rPr>
        <w:t xml:space="preserve">subject </w:t>
      </w:r>
      <w:r w:rsidRPr="6BA606F6">
        <w:rPr>
          <w:lang w:val="en-GB"/>
        </w:rPr>
        <w:t xml:space="preserve">external examiners to act as second or third ‘markers’, to arbitrate between unresolved internal marking differences, or to approve or agree marks.  </w:t>
      </w:r>
      <w:r w:rsidR="0085623F" w:rsidRPr="6BA606F6">
        <w:rPr>
          <w:lang w:val="en-GB"/>
        </w:rPr>
        <w:t>Subject e</w:t>
      </w:r>
      <w:r w:rsidRPr="6BA606F6">
        <w:rPr>
          <w:lang w:val="en-GB"/>
        </w:rPr>
        <w:t>xternal examiners audit a sample of the student work and it is clearly inequitable to consequently change marks relating only to that sample or to special cases p</w:t>
      </w:r>
      <w:r w:rsidR="00C97F85" w:rsidRPr="6BA606F6">
        <w:rPr>
          <w:lang w:val="en-GB"/>
        </w:rPr>
        <w:t>resented by internal examiners.</w:t>
      </w:r>
    </w:p>
    <w:p w14:paraId="08882A8B" w14:textId="08B0838B" w:rsidR="00427529" w:rsidRPr="002B1AEB" w:rsidRDefault="00427529" w:rsidP="008207E1">
      <w:pPr>
        <w:pStyle w:val="Heading2"/>
        <w:rPr>
          <w:lang w:val="en-GB"/>
        </w:rPr>
      </w:pPr>
      <w:bookmarkStart w:id="17" w:name="_Toc172282918"/>
      <w:bookmarkStart w:id="18" w:name="_Hlk89162289"/>
      <w:r w:rsidRPr="002B1AEB">
        <w:rPr>
          <w:lang w:val="en-GB"/>
        </w:rPr>
        <w:t>Internal marking and moderation procedures</w:t>
      </w:r>
      <w:bookmarkEnd w:id="17"/>
    </w:p>
    <w:bookmarkEnd w:id="18"/>
    <w:p w14:paraId="0320E6EE" w14:textId="5D8BE853" w:rsidR="00E03CAE" w:rsidRPr="002B1AEB" w:rsidRDefault="0046369F" w:rsidP="008207E1">
      <w:pPr>
        <w:rPr>
          <w:lang w:val="en-GB"/>
        </w:rPr>
      </w:pPr>
      <w:r w:rsidRPr="3180AE77">
        <w:rPr>
          <w:lang w:val="en-GB"/>
        </w:rPr>
        <w:t xml:space="preserve">The University has adopted the term </w:t>
      </w:r>
      <w:r w:rsidR="002A541C" w:rsidRPr="3180AE77">
        <w:rPr>
          <w:lang w:val="en-GB"/>
        </w:rPr>
        <w:t xml:space="preserve">internal </w:t>
      </w:r>
      <w:r w:rsidRPr="3180AE77">
        <w:rPr>
          <w:lang w:val="en-GB"/>
        </w:rPr>
        <w:t>moderation for procedures used by staff within the University to verify assess</w:t>
      </w:r>
      <w:r w:rsidR="00427529" w:rsidRPr="3180AE77">
        <w:rPr>
          <w:lang w:val="en-GB"/>
        </w:rPr>
        <w:t xml:space="preserve">ment standards. All </w:t>
      </w:r>
      <w:r w:rsidR="00885F23" w:rsidRPr="3180AE77">
        <w:rPr>
          <w:lang w:val="en-GB"/>
        </w:rPr>
        <w:t>levels (</w:t>
      </w:r>
      <w:r w:rsidR="00484BF8" w:rsidRPr="3180AE77">
        <w:rPr>
          <w:lang w:val="en-GB"/>
        </w:rPr>
        <w:t>4-7)</w:t>
      </w:r>
      <w:r w:rsidR="00427529" w:rsidRPr="3180AE77">
        <w:rPr>
          <w:lang w:val="en-GB"/>
        </w:rPr>
        <w:t xml:space="preserve"> must be internally moderated i.e. a sample of marked work will be reassessed by another member of staff in order to ensure that the first marker has applied the marking criteria appropriately and fairly.</w:t>
      </w:r>
      <w:r w:rsidR="00883EA8" w:rsidRPr="3180AE77">
        <w:rPr>
          <w:lang w:val="en-GB"/>
        </w:rPr>
        <w:t xml:space="preserve"> The sample to be internally moderated must match the guidelines for the sample to be provided for the subject external examiner</w:t>
      </w:r>
      <w:r w:rsidR="00E03CAE" w:rsidRPr="3180AE77">
        <w:rPr>
          <w:lang w:val="en-GB"/>
        </w:rPr>
        <w:t xml:space="preserve"> as </w:t>
      </w:r>
      <w:r w:rsidR="00A77DE5" w:rsidRPr="3180AE77">
        <w:rPr>
          <w:lang w:val="en-GB"/>
        </w:rPr>
        <w:t>detailed</w:t>
      </w:r>
      <w:r w:rsidR="00A77DE5">
        <w:rPr>
          <w:lang w:val="en-GB"/>
        </w:rPr>
        <w:t xml:space="preserve"> above</w:t>
      </w:r>
      <w:r w:rsidR="00E03CAE" w:rsidRPr="3180AE77">
        <w:rPr>
          <w:lang w:val="en-GB"/>
        </w:rPr>
        <w:t>.</w:t>
      </w:r>
    </w:p>
    <w:p w14:paraId="039797D4" w14:textId="6AE88824" w:rsidR="00196F19" w:rsidRPr="002B1AEB" w:rsidRDefault="422ABBB2" w:rsidP="008207E1">
      <w:pPr>
        <w:rPr>
          <w:lang w:val="en-GB"/>
        </w:rPr>
      </w:pPr>
      <w:r w:rsidRPr="3180AE77">
        <w:rPr>
          <w:lang w:val="en-GB"/>
        </w:rPr>
        <w:t xml:space="preserve">Where </w:t>
      </w:r>
      <w:r w:rsidR="26356B1D" w:rsidRPr="3180AE77">
        <w:rPr>
          <w:lang w:val="en-GB"/>
        </w:rPr>
        <w:t xml:space="preserve">a </w:t>
      </w:r>
      <w:r w:rsidRPr="3180AE77">
        <w:rPr>
          <w:lang w:val="en-GB"/>
        </w:rPr>
        <w:t xml:space="preserve">sample of work is internally moderated, no student mark should be changed by the moderator unless errors in calculation or omissions are identified. Where </w:t>
      </w:r>
      <w:r w:rsidR="4A24EFF8" w:rsidRPr="3180AE77">
        <w:rPr>
          <w:lang w:val="en-GB"/>
        </w:rPr>
        <w:t>there</w:t>
      </w:r>
      <w:r w:rsidRPr="3180AE77">
        <w:rPr>
          <w:lang w:val="en-GB"/>
        </w:rPr>
        <w:t xml:space="preserve"> is evidence from the internal moderation sample of inappropriate or inconsistent marking</w:t>
      </w:r>
      <w:r w:rsidR="2BC1F0F5" w:rsidRPr="3180AE77">
        <w:rPr>
          <w:lang w:val="en-GB"/>
        </w:rPr>
        <w:t xml:space="preserve"> </w:t>
      </w:r>
      <w:r w:rsidRPr="3180AE77">
        <w:rPr>
          <w:lang w:val="en-GB"/>
        </w:rPr>
        <w:t>then either the work of the whole cohort should be remarked or the whole run of marks should be recalibrated if there is evidence of systematic over-marking or under-marking e.g. by adding /subtracting a certain percentage across the whole cohort, up to a maximum of 10%.</w:t>
      </w:r>
    </w:p>
    <w:p w14:paraId="5552CBD3" w14:textId="41032D89" w:rsidR="00BB333C" w:rsidRPr="002B1AEB" w:rsidRDefault="3E4EF48B" w:rsidP="00301EB8">
      <w:pPr>
        <w:rPr>
          <w:lang w:val="en-GB"/>
        </w:rPr>
      </w:pPr>
      <w:r w:rsidRPr="3180AE77">
        <w:rPr>
          <w:lang w:val="en-GB"/>
        </w:rPr>
        <w:t xml:space="preserve">Where other methods of verifying academic standards are used e.g. double marking, the </w:t>
      </w:r>
      <w:r w:rsidR="70378F1B" w:rsidRPr="3180AE77">
        <w:rPr>
          <w:lang w:val="en-GB"/>
        </w:rPr>
        <w:t xml:space="preserve">subject </w:t>
      </w:r>
      <w:r w:rsidRPr="3180AE77">
        <w:rPr>
          <w:lang w:val="en-GB"/>
        </w:rPr>
        <w:t>external examiner will be notified by the course team.</w:t>
      </w:r>
    </w:p>
    <w:p w14:paraId="27312BDC" w14:textId="70AA0E9E" w:rsidR="00BB333C" w:rsidRPr="002B1AEB" w:rsidRDefault="00BB333C" w:rsidP="00301EB8">
      <w:pPr>
        <w:rPr>
          <w:lang w:val="en-GB"/>
        </w:rPr>
      </w:pPr>
      <w:r w:rsidRPr="002B1AEB">
        <w:rPr>
          <w:lang w:val="en-GB"/>
        </w:rPr>
        <w:t xml:space="preserve">Markers and internal moderators should make a brief record of their discussion for </w:t>
      </w:r>
      <w:r w:rsidR="0028654E" w:rsidRPr="002B1AEB">
        <w:rPr>
          <w:lang w:val="en-GB"/>
        </w:rPr>
        <w:t xml:space="preserve">subject </w:t>
      </w:r>
      <w:r w:rsidRPr="002B1AEB">
        <w:rPr>
          <w:lang w:val="en-GB"/>
        </w:rPr>
        <w:t xml:space="preserve">external examiners. If their discussion has given any cause to return to the whole cohort and reconsider the first marking, an explanation of this should be supplied to the </w:t>
      </w:r>
      <w:r w:rsidR="0028654E" w:rsidRPr="002B1AEB">
        <w:rPr>
          <w:lang w:val="en-GB"/>
        </w:rPr>
        <w:t xml:space="preserve">subject </w:t>
      </w:r>
      <w:r w:rsidRPr="002B1AEB">
        <w:rPr>
          <w:lang w:val="en-GB"/>
        </w:rPr>
        <w:t>external examiner.</w:t>
      </w:r>
    </w:p>
    <w:p w14:paraId="6E43051D" w14:textId="26DC68B7" w:rsidR="0046369F" w:rsidRPr="002B1AEB" w:rsidRDefault="002B7CB9" w:rsidP="008207E1">
      <w:pPr>
        <w:rPr>
          <w:lang w:val="en-GB"/>
        </w:rPr>
      </w:pPr>
      <w:r w:rsidRPr="002B1AEB">
        <w:rPr>
          <w:lang w:val="en-GB"/>
        </w:rPr>
        <w:lastRenderedPageBreak/>
        <w:t>S</w:t>
      </w:r>
      <w:r w:rsidR="00BB333C" w:rsidRPr="002B1AEB">
        <w:rPr>
          <w:lang w:val="en-GB"/>
        </w:rPr>
        <w:t>tudent feedback should show a single mark. If the whole cohort has been double marked, student feedback should show the agreed mark and a synthesis of comments from both markers.</w:t>
      </w:r>
    </w:p>
    <w:p w14:paraId="1C2821F3" w14:textId="433D1AF3" w:rsidR="00750E3D" w:rsidRPr="002B1AEB" w:rsidRDefault="00D055BC" w:rsidP="008207E1">
      <w:pPr>
        <w:pStyle w:val="Heading2"/>
        <w:rPr>
          <w:lang w:val="en-GB"/>
        </w:rPr>
      </w:pPr>
      <w:bookmarkStart w:id="19" w:name="_Toc172282919"/>
      <w:bookmarkStart w:id="20" w:name="_Hlk89162299"/>
      <w:r w:rsidRPr="002B1AEB">
        <w:rPr>
          <w:lang w:val="en-GB"/>
        </w:rPr>
        <w:t xml:space="preserve">Communication between module leaders and </w:t>
      </w:r>
      <w:r w:rsidR="00B16FCD" w:rsidRPr="002B1AEB">
        <w:rPr>
          <w:lang w:val="en-GB"/>
        </w:rPr>
        <w:t xml:space="preserve">subject </w:t>
      </w:r>
      <w:r w:rsidRPr="002B1AEB">
        <w:rPr>
          <w:lang w:val="en-GB"/>
        </w:rPr>
        <w:t>external examiners</w:t>
      </w:r>
      <w:bookmarkEnd w:id="19"/>
      <w:r w:rsidR="00750E3D" w:rsidRPr="002B1AEB">
        <w:rPr>
          <w:lang w:val="en-GB"/>
        </w:rPr>
        <w:t xml:space="preserve"> </w:t>
      </w:r>
      <w:bookmarkEnd w:id="20"/>
    </w:p>
    <w:p w14:paraId="2A32DD13" w14:textId="1EA0AE5B" w:rsidR="0098302D" w:rsidRDefault="00D055BC" w:rsidP="008207E1">
      <w:pPr>
        <w:rPr>
          <w:lang w:val="en-GB"/>
        </w:rPr>
      </w:pPr>
      <w:r w:rsidRPr="002B1AEB">
        <w:rPr>
          <w:lang w:val="en-GB"/>
        </w:rPr>
        <w:t xml:space="preserve">Module leaders should maintain an open dialogue with their respective </w:t>
      </w:r>
      <w:r w:rsidR="00B16FCD" w:rsidRPr="002B1AEB">
        <w:rPr>
          <w:lang w:val="en-GB"/>
        </w:rPr>
        <w:t xml:space="preserve">subject </w:t>
      </w:r>
      <w:r w:rsidRPr="002B1AEB">
        <w:rPr>
          <w:lang w:val="en-GB"/>
        </w:rPr>
        <w:t xml:space="preserve">external examiners throughout the year to ensure that the external examiner has all the necessary information to undertake </w:t>
      </w:r>
      <w:r w:rsidR="005A78F4">
        <w:rPr>
          <w:lang w:val="en-GB"/>
        </w:rPr>
        <w:t>their</w:t>
      </w:r>
      <w:r w:rsidR="00736909" w:rsidRPr="002B1AEB">
        <w:rPr>
          <w:lang w:val="en-GB"/>
        </w:rPr>
        <w:t xml:space="preserve"> duties.</w:t>
      </w:r>
      <w:r w:rsidRPr="002B1AEB">
        <w:rPr>
          <w:lang w:val="en-GB"/>
        </w:rPr>
        <w:t xml:space="preserve"> It is expected that module leaders will take serious note of advice received from subject external examiners and take action, where appropriate.</w:t>
      </w:r>
    </w:p>
    <w:p w14:paraId="37AE6C77" w14:textId="215DB08B" w:rsidR="00385ABD" w:rsidRPr="002B1AEB" w:rsidRDefault="00385ABD" w:rsidP="00385ABD">
      <w:pPr>
        <w:pStyle w:val="Heading2"/>
        <w:rPr>
          <w:lang w:val="en-GB"/>
        </w:rPr>
      </w:pPr>
      <w:bookmarkStart w:id="21" w:name="_Toc172282920"/>
      <w:r>
        <w:rPr>
          <w:lang w:val="en-GB"/>
        </w:rPr>
        <w:t>Visit</w:t>
      </w:r>
      <w:r w:rsidRPr="002B1AEB">
        <w:rPr>
          <w:lang w:val="en-GB"/>
        </w:rPr>
        <w:t>s</w:t>
      </w:r>
      <w:r>
        <w:rPr>
          <w:lang w:val="en-GB"/>
        </w:rPr>
        <w:t xml:space="preserve"> to the University and UK-based collaborative partners</w:t>
      </w:r>
      <w:bookmarkEnd w:id="21"/>
      <w:r w:rsidRPr="002B1AEB">
        <w:rPr>
          <w:lang w:val="en-GB"/>
        </w:rPr>
        <w:t xml:space="preserve"> </w:t>
      </w:r>
    </w:p>
    <w:p w14:paraId="0A8DB413" w14:textId="7B062970" w:rsidR="00385ABD" w:rsidRDefault="00385ABD" w:rsidP="006F2224">
      <w:pPr>
        <w:rPr>
          <w:b/>
          <w:bCs/>
          <w:iCs/>
          <w:lang w:val="en-GB"/>
        </w:rPr>
      </w:pPr>
      <w:bookmarkStart w:id="22" w:name="_Hlk89162306"/>
      <w:r w:rsidRPr="00385ABD">
        <w:rPr>
          <w:lang w:val="en-GB"/>
        </w:rPr>
        <w:t xml:space="preserve">Subject external examiners are encouraged to meet with staff </w:t>
      </w:r>
      <w:r w:rsidR="00760CB2">
        <w:rPr>
          <w:lang w:val="en-GB"/>
        </w:rPr>
        <w:t xml:space="preserve">each </w:t>
      </w:r>
      <w:r w:rsidR="00D82134">
        <w:rPr>
          <w:lang w:val="en-GB"/>
        </w:rPr>
        <w:t>academic</w:t>
      </w:r>
      <w:r w:rsidRPr="00385ABD">
        <w:rPr>
          <w:lang w:val="en-GB"/>
        </w:rPr>
        <w:t xml:space="preserve"> year. For external examiners appointed to K</w:t>
      </w:r>
      <w:r w:rsidR="00F92B8E">
        <w:rPr>
          <w:lang w:val="en-GB"/>
        </w:rPr>
        <w:t>ingston University</w:t>
      </w:r>
      <w:r w:rsidRPr="00385ABD">
        <w:rPr>
          <w:lang w:val="en-GB"/>
        </w:rPr>
        <w:t xml:space="preserve"> provision or courses delivered by UK-based collaborative partners, the visit can be held face-to-face or remotely. External examiners should book their own travel and claim back via Unified, with the exception of flights and accommodation which must be approved </w:t>
      </w:r>
      <w:r w:rsidR="00914D5E">
        <w:rPr>
          <w:lang w:val="en-GB"/>
        </w:rPr>
        <w:t xml:space="preserve">and booked </w:t>
      </w:r>
      <w:r w:rsidRPr="00385ABD">
        <w:rPr>
          <w:lang w:val="en-GB"/>
        </w:rPr>
        <w:t xml:space="preserve">by QAE. </w:t>
      </w:r>
    </w:p>
    <w:p w14:paraId="0AE1886B" w14:textId="466A3068" w:rsidR="00385ABD" w:rsidRPr="002B1AEB" w:rsidRDefault="00385ABD" w:rsidP="00385ABD">
      <w:pPr>
        <w:pStyle w:val="Heading2"/>
        <w:rPr>
          <w:lang w:val="en-GB"/>
        </w:rPr>
      </w:pPr>
      <w:bookmarkStart w:id="23" w:name="_Hlk89162351"/>
      <w:bookmarkStart w:id="24" w:name="_Toc172282921"/>
      <w:r w:rsidRPr="002B1AEB">
        <w:rPr>
          <w:lang w:val="en-GB"/>
        </w:rPr>
        <w:t xml:space="preserve">Visits to </w:t>
      </w:r>
      <w:r>
        <w:rPr>
          <w:lang w:val="en-GB"/>
        </w:rPr>
        <w:t xml:space="preserve">Overseas </w:t>
      </w:r>
      <w:r w:rsidRPr="002B1AEB">
        <w:rPr>
          <w:lang w:val="en-GB"/>
        </w:rPr>
        <w:t>Collaborative Partners</w:t>
      </w:r>
      <w:bookmarkEnd w:id="23"/>
      <w:bookmarkEnd w:id="24"/>
    </w:p>
    <w:p w14:paraId="093B2360" w14:textId="6B331015" w:rsidR="00385ABD" w:rsidRDefault="00385ABD" w:rsidP="00385ABD">
      <w:pPr>
        <w:rPr>
          <w:lang w:val="en-GB"/>
        </w:rPr>
      </w:pPr>
      <w:r w:rsidRPr="3180AE77">
        <w:rPr>
          <w:lang w:val="en-GB"/>
        </w:rPr>
        <w:t>External examiners responsible for provision being delivered by collaborative partner institutions located overseas</w:t>
      </w:r>
      <w:r w:rsidR="00F15508">
        <w:rPr>
          <w:lang w:val="en-GB"/>
        </w:rPr>
        <w:t>,</w:t>
      </w:r>
      <w:r w:rsidRPr="3180AE77">
        <w:rPr>
          <w:lang w:val="en-GB"/>
        </w:rPr>
        <w:t xml:space="preserve"> </w:t>
      </w:r>
      <w:r w:rsidR="00574B72">
        <w:rPr>
          <w:lang w:val="en-GB"/>
        </w:rPr>
        <w:t>where more than 50% of the</w:t>
      </w:r>
      <w:r w:rsidR="00F15508">
        <w:rPr>
          <w:lang w:val="en-GB"/>
        </w:rPr>
        <w:t xml:space="preserve"> modules within their remit are delivered by the partner, </w:t>
      </w:r>
      <w:r w:rsidRPr="3180AE77">
        <w:rPr>
          <w:lang w:val="en-GB"/>
        </w:rPr>
        <w:t xml:space="preserve">are </w:t>
      </w:r>
      <w:r>
        <w:rPr>
          <w:lang w:val="en-GB"/>
        </w:rPr>
        <w:t>permitted to visit the collaborative partner twice during their tenure.</w:t>
      </w:r>
      <w:r w:rsidR="0012181E">
        <w:rPr>
          <w:lang w:val="en-GB"/>
        </w:rPr>
        <w:t xml:space="preserve"> Visits in the final year of tenure would</w:t>
      </w:r>
      <w:r w:rsidR="00C93657">
        <w:rPr>
          <w:lang w:val="en-GB"/>
        </w:rPr>
        <w:t xml:space="preserve"> not</w:t>
      </w:r>
      <w:r w:rsidR="0012181E">
        <w:rPr>
          <w:lang w:val="en-GB"/>
        </w:rPr>
        <w:t xml:space="preserve"> normally be approved.</w:t>
      </w:r>
      <w:r>
        <w:rPr>
          <w:lang w:val="en-GB"/>
        </w:rPr>
        <w:t xml:space="preserve"> The visit should facilitate a tour of the facilities available to the staff and students, meet the course team and hold moderation and course-enhancement discussions. Where an examiner audits modules across multiple collaborative partner institutions, the examiner must select the collaborative partner institution(s) to visit during their tenure, bearing in mind that the maximum number of visits cannot exceed two.</w:t>
      </w:r>
      <w:r w:rsidR="00F92B8E">
        <w:rPr>
          <w:lang w:val="en-GB"/>
        </w:rPr>
        <w:t xml:space="preserve"> </w:t>
      </w:r>
      <w:r w:rsidR="00CA5CF1">
        <w:rPr>
          <w:lang w:val="en-GB"/>
        </w:rPr>
        <w:t>External</w:t>
      </w:r>
      <w:r w:rsidR="00D340DE">
        <w:rPr>
          <w:lang w:val="en-GB"/>
        </w:rPr>
        <w:t xml:space="preserve"> examiners</w:t>
      </w:r>
      <w:r w:rsidR="00F92B8E">
        <w:rPr>
          <w:lang w:val="en-GB"/>
        </w:rPr>
        <w:t xml:space="preserve"> are</w:t>
      </w:r>
      <w:r>
        <w:rPr>
          <w:lang w:val="en-GB"/>
        </w:rPr>
        <w:t xml:space="preserve"> </w:t>
      </w:r>
      <w:r w:rsidR="00F92B8E" w:rsidRPr="00F92B8E">
        <w:rPr>
          <w:lang w:val="en-GB"/>
        </w:rPr>
        <w:t xml:space="preserve">encouraged to have interim </w:t>
      </w:r>
      <w:r w:rsidR="00082DA9">
        <w:rPr>
          <w:lang w:val="en-GB"/>
        </w:rPr>
        <w:t xml:space="preserve">online meetings </w:t>
      </w:r>
      <w:r w:rsidR="00D340DE">
        <w:rPr>
          <w:lang w:val="en-GB"/>
        </w:rPr>
        <w:t>each year that they do not physically visit the partner</w:t>
      </w:r>
      <w:r w:rsidR="002A5DB8">
        <w:rPr>
          <w:lang w:val="en-GB"/>
        </w:rPr>
        <w:t xml:space="preserve"> institution</w:t>
      </w:r>
      <w:r w:rsidR="00F92B8E" w:rsidRPr="00F92B8E">
        <w:rPr>
          <w:lang w:val="en-GB"/>
        </w:rPr>
        <w:t>.</w:t>
      </w:r>
    </w:p>
    <w:p w14:paraId="692D534C" w14:textId="209C3F5C" w:rsidR="00385ABD" w:rsidRPr="00385ABD" w:rsidRDefault="000E0BD5" w:rsidP="00385ABD">
      <w:pPr>
        <w:rPr>
          <w:lang w:val="en-GB"/>
        </w:rPr>
      </w:pPr>
      <w:r>
        <w:rPr>
          <w:lang w:val="en-GB"/>
        </w:rPr>
        <w:t>Visits to overseas partners</w:t>
      </w:r>
      <w:r w:rsidR="00385ABD">
        <w:rPr>
          <w:lang w:val="en-GB"/>
        </w:rPr>
        <w:t xml:space="preserve"> </w:t>
      </w:r>
      <w:r w:rsidR="008A3DA1">
        <w:rPr>
          <w:lang w:val="en-GB"/>
        </w:rPr>
        <w:t xml:space="preserve">must </w:t>
      </w:r>
      <w:r w:rsidR="00385ABD">
        <w:rPr>
          <w:lang w:val="en-GB"/>
        </w:rPr>
        <w:t>be approved</w:t>
      </w:r>
      <w:r w:rsidR="008A3DA1">
        <w:rPr>
          <w:lang w:val="en-GB"/>
        </w:rPr>
        <w:t xml:space="preserve"> and booked</w:t>
      </w:r>
      <w:r w:rsidR="00385ABD">
        <w:rPr>
          <w:lang w:val="en-GB"/>
        </w:rPr>
        <w:t xml:space="preserve"> by QAE.</w:t>
      </w:r>
    </w:p>
    <w:p w14:paraId="65BD0E13" w14:textId="4B69C2EE" w:rsidR="00D055BC" w:rsidRPr="002B1AEB" w:rsidRDefault="00B16FCD" w:rsidP="008207E1">
      <w:pPr>
        <w:pStyle w:val="Heading2"/>
        <w:rPr>
          <w:lang w:val="en-GB"/>
        </w:rPr>
      </w:pPr>
      <w:bookmarkStart w:id="25" w:name="_Toc172282922"/>
      <w:r w:rsidRPr="002B1AEB">
        <w:rPr>
          <w:lang w:val="en-GB"/>
        </w:rPr>
        <w:t xml:space="preserve">Subject </w:t>
      </w:r>
      <w:r w:rsidR="00D055BC" w:rsidRPr="002B1AEB">
        <w:rPr>
          <w:lang w:val="en-GB"/>
        </w:rPr>
        <w:t>External Examiners’ feedback on their audit of sample student work</w:t>
      </w:r>
      <w:bookmarkEnd w:id="22"/>
      <w:r w:rsidR="00D64EB5" w:rsidRPr="002B1AEB">
        <w:rPr>
          <w:lang w:val="en-GB"/>
        </w:rPr>
        <w:t xml:space="preserve"> </w:t>
      </w:r>
      <w:bookmarkEnd w:id="25"/>
    </w:p>
    <w:p w14:paraId="2E536D10" w14:textId="33766433" w:rsidR="00D8765B" w:rsidRPr="002B1AEB" w:rsidRDefault="00B16FCD" w:rsidP="008207E1">
      <w:pPr>
        <w:rPr>
          <w:b/>
          <w:lang w:val="en-GB"/>
        </w:rPr>
      </w:pPr>
      <w:r w:rsidRPr="002B1AEB">
        <w:rPr>
          <w:lang w:val="en-GB"/>
        </w:rPr>
        <w:t>Subject e</w:t>
      </w:r>
      <w:r w:rsidR="00D055BC" w:rsidRPr="002B1AEB">
        <w:rPr>
          <w:lang w:val="en-GB"/>
        </w:rPr>
        <w:t>xternal examiners are required to submit formal feedback on their audit of sample student work</w:t>
      </w:r>
      <w:r w:rsidR="00772039">
        <w:rPr>
          <w:lang w:val="en-GB"/>
        </w:rPr>
        <w:t xml:space="preserve"> via the annual report.</w:t>
      </w:r>
      <w:r w:rsidR="00916FB6">
        <w:rPr>
          <w:lang w:val="en-GB"/>
        </w:rPr>
        <w:t xml:space="preserve"> The report should be submitted within </w:t>
      </w:r>
      <w:r w:rsidR="00A1329A">
        <w:rPr>
          <w:rFonts w:cs="Arial"/>
        </w:rPr>
        <w:t xml:space="preserve">one month of the last assessment board that considers </w:t>
      </w:r>
      <w:r w:rsidR="009A1C87">
        <w:rPr>
          <w:rFonts w:cs="Arial"/>
        </w:rPr>
        <w:t xml:space="preserve">one or more of </w:t>
      </w:r>
      <w:r w:rsidR="00A1329A">
        <w:rPr>
          <w:rFonts w:cs="Arial"/>
        </w:rPr>
        <w:t>the modules within the external examiner’s remit i.e. once they have received a sample for all their modules and can reflect holistically on their audit for the full academic year.</w:t>
      </w:r>
    </w:p>
    <w:p w14:paraId="518BCE3C" w14:textId="12AD1101" w:rsidR="0046369F" w:rsidRPr="007141B7" w:rsidRDefault="007440AB" w:rsidP="007110B4">
      <w:pPr>
        <w:tabs>
          <w:tab w:val="left" w:pos="567"/>
        </w:tabs>
        <w:rPr>
          <w:sz w:val="28"/>
          <w:szCs w:val="28"/>
          <w:lang w:val="en-GB"/>
        </w:rPr>
      </w:pPr>
      <w:bookmarkStart w:id="26" w:name="_Hlk89162316"/>
      <w:r w:rsidRPr="007141B7">
        <w:rPr>
          <w:b/>
          <w:bCs/>
          <w:sz w:val="28"/>
          <w:szCs w:val="28"/>
          <w:lang w:val="en-GB"/>
        </w:rPr>
        <w:t xml:space="preserve">Programme </w:t>
      </w:r>
      <w:r w:rsidR="0046369F" w:rsidRPr="007141B7">
        <w:rPr>
          <w:b/>
          <w:sz w:val="28"/>
          <w:szCs w:val="28"/>
          <w:lang w:val="en-GB"/>
        </w:rPr>
        <w:t xml:space="preserve">Assessment Boards and </w:t>
      </w:r>
      <w:r w:rsidR="00D219DA" w:rsidRPr="007141B7">
        <w:rPr>
          <w:b/>
          <w:sz w:val="28"/>
          <w:szCs w:val="28"/>
          <w:lang w:val="en-GB"/>
        </w:rPr>
        <w:t xml:space="preserve">subject </w:t>
      </w:r>
      <w:r w:rsidR="0046369F" w:rsidRPr="007141B7">
        <w:rPr>
          <w:b/>
          <w:sz w:val="28"/>
          <w:szCs w:val="28"/>
          <w:lang w:val="en-GB"/>
        </w:rPr>
        <w:t>external examiners</w:t>
      </w:r>
    </w:p>
    <w:bookmarkEnd w:id="26"/>
    <w:p w14:paraId="22F27432" w14:textId="702E5D72" w:rsidR="00D219DA" w:rsidRPr="002B1AEB" w:rsidRDefault="00856E0E" w:rsidP="3180AE77">
      <w:pPr>
        <w:rPr>
          <w:lang w:val="en-GB"/>
        </w:rPr>
      </w:pPr>
      <w:r w:rsidRPr="3180AE77">
        <w:rPr>
          <w:lang w:val="en-GB"/>
        </w:rPr>
        <w:t xml:space="preserve">Subject external examiners are not required to attend assessment boards. The University has a single tier assessment board structure. The </w:t>
      </w:r>
      <w:r w:rsidR="007440AB" w:rsidRPr="3180AE77">
        <w:rPr>
          <w:lang w:val="en-GB"/>
        </w:rPr>
        <w:t xml:space="preserve">Programme </w:t>
      </w:r>
      <w:r w:rsidRPr="3180AE77">
        <w:rPr>
          <w:lang w:val="en-GB"/>
        </w:rPr>
        <w:t>A</w:t>
      </w:r>
      <w:r w:rsidR="007440AB" w:rsidRPr="3180AE77">
        <w:rPr>
          <w:lang w:val="en-GB"/>
        </w:rPr>
        <w:t>ssessment B</w:t>
      </w:r>
      <w:r w:rsidRPr="3180AE77">
        <w:rPr>
          <w:lang w:val="en-GB"/>
        </w:rPr>
        <w:t xml:space="preserve">oard </w:t>
      </w:r>
      <w:r w:rsidR="00B16FCD" w:rsidRPr="3180AE77">
        <w:rPr>
          <w:lang w:val="en-GB"/>
        </w:rPr>
        <w:t xml:space="preserve">(PAB) </w:t>
      </w:r>
      <w:r w:rsidR="00805377" w:rsidRPr="3180AE77">
        <w:rPr>
          <w:lang w:val="en-GB"/>
        </w:rPr>
        <w:t>is responsible for recommending progression</w:t>
      </w:r>
      <w:r w:rsidR="00C33525" w:rsidRPr="3180AE77">
        <w:rPr>
          <w:lang w:val="en-GB"/>
        </w:rPr>
        <w:t>,</w:t>
      </w:r>
      <w:r w:rsidR="00805377" w:rsidRPr="3180AE77">
        <w:rPr>
          <w:lang w:val="en-GB"/>
        </w:rPr>
        <w:t xml:space="preserve"> awards </w:t>
      </w:r>
      <w:r w:rsidR="00C33525" w:rsidRPr="3180AE77">
        <w:rPr>
          <w:lang w:val="en-GB"/>
        </w:rPr>
        <w:t xml:space="preserve">and exclusions. The PAB will receive </w:t>
      </w:r>
      <w:r w:rsidRPr="3180AE77">
        <w:rPr>
          <w:lang w:val="en-GB"/>
        </w:rPr>
        <w:t xml:space="preserve">confirmation that all the sample student work </w:t>
      </w:r>
      <w:r w:rsidR="002E7C6E" w:rsidRPr="3180AE77">
        <w:rPr>
          <w:lang w:val="en-GB"/>
        </w:rPr>
        <w:t xml:space="preserve">(to which that PAB relates) </w:t>
      </w:r>
      <w:r w:rsidRPr="3180AE77">
        <w:rPr>
          <w:lang w:val="en-GB"/>
        </w:rPr>
        <w:t xml:space="preserve">has been internally moderated. </w:t>
      </w:r>
      <w:r w:rsidR="00AA7DE9" w:rsidRPr="3180AE77">
        <w:rPr>
          <w:lang w:val="en-GB"/>
        </w:rPr>
        <w:t xml:space="preserve">Clear processes are in place for dealing with </w:t>
      </w:r>
      <w:r w:rsidR="00C33525" w:rsidRPr="3180AE77">
        <w:rPr>
          <w:lang w:val="en-GB"/>
        </w:rPr>
        <w:t xml:space="preserve">academic misconduct, </w:t>
      </w:r>
      <w:r w:rsidR="00AA7DE9" w:rsidRPr="3180AE77">
        <w:rPr>
          <w:lang w:val="en-GB"/>
        </w:rPr>
        <w:t>mitigating circumstances</w:t>
      </w:r>
      <w:r w:rsidR="00C33525" w:rsidRPr="3180AE77">
        <w:rPr>
          <w:lang w:val="en-GB"/>
        </w:rPr>
        <w:t xml:space="preserve"> and </w:t>
      </w:r>
      <w:r w:rsidR="00AA7DE9" w:rsidRPr="3180AE77">
        <w:rPr>
          <w:lang w:val="en-GB"/>
        </w:rPr>
        <w:t xml:space="preserve">compensation </w:t>
      </w:r>
      <w:r w:rsidR="00AA7DE9" w:rsidRPr="3180AE77">
        <w:rPr>
          <w:lang w:val="en-GB"/>
        </w:rPr>
        <w:lastRenderedPageBreak/>
        <w:t>etc. to ensure that double counting does not take place and full details are provided in the U</w:t>
      </w:r>
      <w:r w:rsidR="00C33525" w:rsidRPr="3180AE77">
        <w:rPr>
          <w:lang w:val="en-GB"/>
        </w:rPr>
        <w:t>niversity’s academic policies and</w:t>
      </w:r>
      <w:r w:rsidR="00AA7DE9" w:rsidRPr="3180AE77">
        <w:rPr>
          <w:lang w:val="en-GB"/>
        </w:rPr>
        <w:t xml:space="preserve"> regulations</w:t>
      </w:r>
      <w:r w:rsidR="00911E50" w:rsidRPr="00616260">
        <w:rPr>
          <w:rStyle w:val="Hyperlink"/>
          <w:color w:val="auto"/>
          <w:u w:val="none"/>
          <w:lang w:val="en-GB"/>
        </w:rPr>
        <w:t>.</w:t>
      </w:r>
    </w:p>
    <w:p w14:paraId="6EBC2F7C" w14:textId="6655741D" w:rsidR="002E7C6E" w:rsidRPr="002B1AEB" w:rsidRDefault="002E7C6E" w:rsidP="008207E1">
      <w:pPr>
        <w:rPr>
          <w:szCs w:val="24"/>
          <w:lang w:val="en-GB"/>
        </w:rPr>
      </w:pPr>
      <w:r w:rsidRPr="002B1AEB">
        <w:rPr>
          <w:szCs w:val="24"/>
          <w:lang w:val="en-GB"/>
        </w:rPr>
        <w:t>The University appoints P</w:t>
      </w:r>
      <w:r w:rsidR="00B16FCD" w:rsidRPr="002B1AEB">
        <w:rPr>
          <w:szCs w:val="24"/>
          <w:lang w:val="en-GB"/>
        </w:rPr>
        <w:t>rogr</w:t>
      </w:r>
      <w:r w:rsidR="007440AB" w:rsidRPr="002B1AEB">
        <w:rPr>
          <w:szCs w:val="24"/>
          <w:lang w:val="en-GB"/>
        </w:rPr>
        <w:t xml:space="preserve">amme Assessment </w:t>
      </w:r>
      <w:r w:rsidRPr="002B1AEB">
        <w:rPr>
          <w:szCs w:val="24"/>
          <w:lang w:val="en-GB"/>
        </w:rPr>
        <w:t>B</w:t>
      </w:r>
      <w:r w:rsidR="00B16FCD" w:rsidRPr="002B1AEB">
        <w:rPr>
          <w:szCs w:val="24"/>
          <w:lang w:val="en-GB"/>
        </w:rPr>
        <w:t>oard</w:t>
      </w:r>
      <w:r w:rsidRPr="002B1AEB">
        <w:rPr>
          <w:szCs w:val="24"/>
          <w:lang w:val="en-GB"/>
        </w:rPr>
        <w:t xml:space="preserve"> </w:t>
      </w:r>
      <w:r w:rsidR="00856E0E" w:rsidRPr="002B1AEB">
        <w:rPr>
          <w:szCs w:val="24"/>
          <w:lang w:val="en-GB"/>
        </w:rPr>
        <w:t>external examiners</w:t>
      </w:r>
      <w:r w:rsidRPr="002B1AEB">
        <w:rPr>
          <w:szCs w:val="24"/>
          <w:lang w:val="en-GB"/>
        </w:rPr>
        <w:t xml:space="preserve"> to ensure that the board is conducted as per the University’s guidelines and that there is equity of treatment to all students.</w:t>
      </w:r>
      <w:r w:rsidR="00856E0E" w:rsidRPr="002B1AEB">
        <w:rPr>
          <w:szCs w:val="24"/>
          <w:lang w:val="en-GB"/>
        </w:rPr>
        <w:t xml:space="preserve"> </w:t>
      </w:r>
      <w:r w:rsidR="000D5621" w:rsidRPr="002B1AEB">
        <w:rPr>
          <w:szCs w:val="24"/>
          <w:lang w:val="en-GB"/>
        </w:rPr>
        <w:t>PAB external examiners are not drawn from the pool of</w:t>
      </w:r>
      <w:r w:rsidR="00AA7DE9" w:rsidRPr="002B1AEB">
        <w:rPr>
          <w:szCs w:val="24"/>
          <w:lang w:val="en-GB"/>
        </w:rPr>
        <w:t xml:space="preserve"> subject external examiners</w:t>
      </w:r>
      <w:r w:rsidR="000D5621" w:rsidRPr="002B1AEB">
        <w:rPr>
          <w:szCs w:val="24"/>
          <w:lang w:val="en-GB"/>
        </w:rPr>
        <w:t>.</w:t>
      </w:r>
    </w:p>
    <w:p w14:paraId="0C033FAF" w14:textId="185D928E" w:rsidR="00555475" w:rsidRPr="003F2CAB" w:rsidRDefault="00555475" w:rsidP="00555475">
      <w:pPr>
        <w:pStyle w:val="Heading2"/>
        <w:rPr>
          <w:snapToGrid/>
          <w:lang w:val="en-GB"/>
        </w:rPr>
      </w:pPr>
      <w:bookmarkStart w:id="27" w:name="_Toc172282923"/>
      <w:r w:rsidRPr="003F2CAB">
        <w:t xml:space="preserve">Involvement of external examiners in </w:t>
      </w:r>
      <w:bookmarkEnd w:id="27"/>
      <w:r w:rsidR="00263780">
        <w:t>other university activities</w:t>
      </w:r>
    </w:p>
    <w:p w14:paraId="73AED0DF" w14:textId="60E88707" w:rsidR="00555475" w:rsidRPr="003F2CAB" w:rsidRDefault="00555475" w:rsidP="00555475">
      <w:pPr>
        <w:rPr>
          <w:rFonts w:eastAsiaTheme="minorHAnsi"/>
          <w:iCs/>
          <w:szCs w:val="24"/>
        </w:rPr>
      </w:pPr>
      <w:r w:rsidRPr="003F2CAB">
        <w:rPr>
          <w:iCs/>
          <w:szCs w:val="24"/>
        </w:rPr>
        <w:t xml:space="preserve">External examiners may be used in an external panel member </w:t>
      </w:r>
      <w:r w:rsidR="002262FA">
        <w:rPr>
          <w:iCs/>
          <w:szCs w:val="24"/>
        </w:rPr>
        <w:t xml:space="preserve">or external subject expert </w:t>
      </w:r>
      <w:r w:rsidRPr="003F2CAB">
        <w:rPr>
          <w:iCs/>
          <w:szCs w:val="24"/>
        </w:rPr>
        <w:t xml:space="preserve">capacity for </w:t>
      </w:r>
      <w:r w:rsidR="0075259E" w:rsidRPr="003F2CAB">
        <w:rPr>
          <w:iCs/>
          <w:szCs w:val="24"/>
        </w:rPr>
        <w:t>some validation</w:t>
      </w:r>
      <w:r w:rsidR="008A5D35">
        <w:rPr>
          <w:iCs/>
          <w:szCs w:val="24"/>
        </w:rPr>
        <w:t>/ enhanced CMMP activity</w:t>
      </w:r>
      <w:r w:rsidRPr="003F2CAB">
        <w:rPr>
          <w:iCs/>
          <w:szCs w:val="24"/>
        </w:rPr>
        <w:t xml:space="preserve"> </w:t>
      </w:r>
      <w:r w:rsidR="00D45A37">
        <w:rPr>
          <w:iCs/>
          <w:szCs w:val="24"/>
        </w:rPr>
        <w:t>and/or substantive review</w:t>
      </w:r>
      <w:r w:rsidRPr="003F2CAB">
        <w:rPr>
          <w:iCs/>
          <w:szCs w:val="24"/>
        </w:rPr>
        <w:t>, subject to approval by the Head of Quality Assurance &amp; Enhancement.</w:t>
      </w:r>
    </w:p>
    <w:p w14:paraId="148FF2FA" w14:textId="77777777" w:rsidR="00555475" w:rsidRPr="003F2CAB" w:rsidRDefault="00555475" w:rsidP="00555475">
      <w:pPr>
        <w:rPr>
          <w:iCs/>
          <w:szCs w:val="24"/>
        </w:rPr>
      </w:pPr>
      <w:r w:rsidRPr="003F2CAB">
        <w:rPr>
          <w:iCs/>
          <w:szCs w:val="24"/>
        </w:rPr>
        <w:t>Experts who have served as external panel members for validations can be subsequently appointed as external examiners if they meet the appointment criteria.</w:t>
      </w:r>
    </w:p>
    <w:p w14:paraId="71690CF3" w14:textId="7F1D6231" w:rsidR="00555475" w:rsidRPr="003F2CAB" w:rsidRDefault="00555475" w:rsidP="00555475">
      <w:pPr>
        <w:rPr>
          <w:iCs/>
          <w:szCs w:val="24"/>
        </w:rPr>
      </w:pPr>
      <w:r w:rsidRPr="003F2CAB">
        <w:rPr>
          <w:iCs/>
          <w:szCs w:val="24"/>
        </w:rPr>
        <w:t>External examiners may also be consulted regarding proposed changes to modules and courses</w:t>
      </w:r>
      <w:r w:rsidR="00EC7634">
        <w:rPr>
          <w:iCs/>
          <w:szCs w:val="24"/>
        </w:rPr>
        <w:t xml:space="preserve"> as part of the course and module modification process</w:t>
      </w:r>
      <w:r w:rsidRPr="003F2CAB">
        <w:rPr>
          <w:iCs/>
          <w:szCs w:val="24"/>
        </w:rPr>
        <w:t>. The University does not require that external examiners approve or be consulted about such changes.</w:t>
      </w:r>
    </w:p>
    <w:p w14:paraId="0DBB1B26" w14:textId="6FDAD24C" w:rsidR="00986B76" w:rsidRPr="002606E3" w:rsidRDefault="00555475" w:rsidP="002606E3">
      <w:pPr>
        <w:rPr>
          <w:iCs/>
          <w:szCs w:val="24"/>
        </w:rPr>
      </w:pPr>
      <w:r w:rsidRPr="003F2CAB">
        <w:rPr>
          <w:iCs/>
          <w:szCs w:val="24"/>
        </w:rPr>
        <w:t>Course teams should inform subject external examiners at the earliest possible date about changes to the curriculum and may wish to seek their advice where changes arise directly out of the audit of assessment</w:t>
      </w:r>
      <w:r>
        <w:rPr>
          <w:iCs/>
          <w:szCs w:val="24"/>
        </w:rPr>
        <w:t>.</w:t>
      </w:r>
    </w:p>
    <w:p w14:paraId="232DF51C" w14:textId="69E83EB8" w:rsidR="0046369F" w:rsidRPr="002B1AEB" w:rsidRDefault="002E2E84" w:rsidP="008207E1">
      <w:pPr>
        <w:pStyle w:val="Heading2"/>
        <w:rPr>
          <w:lang w:val="en-GB"/>
        </w:rPr>
      </w:pPr>
      <w:bookmarkStart w:id="28" w:name="_Toc172282924"/>
      <w:r w:rsidRPr="002B1AEB">
        <w:rPr>
          <w:lang w:val="en-GB"/>
        </w:rPr>
        <w:t xml:space="preserve">Subject </w:t>
      </w:r>
      <w:r w:rsidR="00411243" w:rsidRPr="002B1AEB">
        <w:rPr>
          <w:lang w:val="en-GB"/>
        </w:rPr>
        <w:t xml:space="preserve">External </w:t>
      </w:r>
      <w:r w:rsidR="008700AA" w:rsidRPr="002B1AEB">
        <w:rPr>
          <w:lang w:val="en-GB"/>
        </w:rPr>
        <w:t>E</w:t>
      </w:r>
      <w:r w:rsidR="00411243" w:rsidRPr="002B1AEB">
        <w:rPr>
          <w:lang w:val="en-GB"/>
        </w:rPr>
        <w:t>xaminer</w:t>
      </w:r>
      <w:r w:rsidR="0046369F" w:rsidRPr="002B1AEB">
        <w:rPr>
          <w:lang w:val="en-GB"/>
        </w:rPr>
        <w:t>s</w:t>
      </w:r>
      <w:r w:rsidR="00411243" w:rsidRPr="002B1AEB">
        <w:rPr>
          <w:lang w:val="en-GB"/>
        </w:rPr>
        <w:t>’</w:t>
      </w:r>
      <w:r w:rsidR="0046369F" w:rsidRPr="002B1AEB">
        <w:rPr>
          <w:lang w:val="en-GB"/>
        </w:rPr>
        <w:t xml:space="preserve"> reports</w:t>
      </w:r>
      <w:bookmarkEnd w:id="28"/>
    </w:p>
    <w:p w14:paraId="4B4B73D2" w14:textId="0814A73E" w:rsidR="0046369F" w:rsidRPr="002B1AEB" w:rsidRDefault="0046369F" w:rsidP="008207E1">
      <w:pPr>
        <w:rPr>
          <w:szCs w:val="24"/>
          <w:lang w:val="en-GB"/>
        </w:rPr>
      </w:pPr>
      <w:r w:rsidRPr="002B1AEB">
        <w:rPr>
          <w:szCs w:val="24"/>
          <w:lang w:val="en-GB"/>
        </w:rPr>
        <w:t xml:space="preserve">All </w:t>
      </w:r>
      <w:r w:rsidR="0028654E" w:rsidRPr="002B1AEB">
        <w:rPr>
          <w:szCs w:val="24"/>
          <w:lang w:val="en-GB"/>
        </w:rPr>
        <w:t xml:space="preserve">subject </w:t>
      </w:r>
      <w:r w:rsidRPr="002B1AEB">
        <w:rPr>
          <w:szCs w:val="24"/>
          <w:lang w:val="en-GB"/>
        </w:rPr>
        <w:t xml:space="preserve">external examiners, as part of their contract with the University, are required to submit an annual report. The University has adopted a standard report format which must be completed on-line. In addition to responses to key questions about standards, processes and procedures, </w:t>
      </w:r>
      <w:r w:rsidR="0028654E" w:rsidRPr="002B1AEB">
        <w:rPr>
          <w:szCs w:val="24"/>
          <w:lang w:val="en-GB"/>
        </w:rPr>
        <w:t xml:space="preserve">subject </w:t>
      </w:r>
      <w:r w:rsidRPr="002B1AEB">
        <w:rPr>
          <w:szCs w:val="24"/>
          <w:lang w:val="en-GB"/>
        </w:rPr>
        <w:t xml:space="preserve">external examiners are </w:t>
      </w:r>
      <w:r w:rsidR="002E2E84" w:rsidRPr="002B1AEB" w:rsidDel="0034310A">
        <w:rPr>
          <w:szCs w:val="24"/>
          <w:lang w:val="en-GB"/>
        </w:rPr>
        <w:t xml:space="preserve">asked to </w:t>
      </w:r>
      <w:r w:rsidRPr="002B1AEB">
        <w:rPr>
          <w:szCs w:val="24"/>
          <w:lang w:val="en-GB"/>
        </w:rPr>
        <w:t>detail any areas of good practice and/or recommendations for enhancement</w:t>
      </w:r>
      <w:r w:rsidR="00BB7480" w:rsidRPr="002B1AEB">
        <w:rPr>
          <w:szCs w:val="24"/>
          <w:lang w:val="en-GB"/>
        </w:rPr>
        <w:t>.</w:t>
      </w:r>
    </w:p>
    <w:p w14:paraId="2CDADFE7" w14:textId="1C21B2A8" w:rsidR="0046369F" w:rsidRPr="002B1AEB" w:rsidRDefault="0028654E" w:rsidP="3180AE77">
      <w:pPr>
        <w:rPr>
          <w:lang w:val="en-GB"/>
        </w:rPr>
      </w:pPr>
      <w:r w:rsidRPr="3180AE77">
        <w:rPr>
          <w:lang w:val="en-GB"/>
        </w:rPr>
        <w:t>Subject e</w:t>
      </w:r>
      <w:r w:rsidR="0046369F" w:rsidRPr="3180AE77">
        <w:rPr>
          <w:lang w:val="en-GB"/>
        </w:rPr>
        <w:t xml:space="preserve">xternal examiners with responsibility for collaborative </w:t>
      </w:r>
      <w:r w:rsidR="00F245C8" w:rsidRPr="3180AE77">
        <w:rPr>
          <w:lang w:val="en-GB"/>
        </w:rPr>
        <w:t xml:space="preserve">provision </w:t>
      </w:r>
      <w:r w:rsidR="0046369F" w:rsidRPr="3180AE77">
        <w:rPr>
          <w:lang w:val="en-GB"/>
        </w:rPr>
        <w:t xml:space="preserve">will be required to comment on each partner (as appropriate) that offers the </w:t>
      </w:r>
      <w:r w:rsidR="00F245C8" w:rsidRPr="3180AE77">
        <w:rPr>
          <w:lang w:val="en-GB"/>
        </w:rPr>
        <w:t>course</w:t>
      </w:r>
      <w:r w:rsidR="0046369F" w:rsidRPr="3180AE77">
        <w:rPr>
          <w:lang w:val="en-GB"/>
        </w:rPr>
        <w:t xml:space="preserve">. This may take the form of </w:t>
      </w:r>
      <w:r w:rsidR="00F8012F" w:rsidRPr="3180AE77">
        <w:rPr>
          <w:lang w:val="en-GB"/>
        </w:rPr>
        <w:t>questions</w:t>
      </w:r>
      <w:r w:rsidR="0046369F" w:rsidRPr="3180AE77">
        <w:rPr>
          <w:lang w:val="en-GB"/>
        </w:rPr>
        <w:t xml:space="preserve"> within one report or separate reports. The precise format will depend upon the nature of the collaboration and external examiner arrangements. The reporting requirements will be made </w:t>
      </w:r>
      <w:r w:rsidR="00FA0B76" w:rsidRPr="3180AE77">
        <w:rPr>
          <w:lang w:val="en-GB"/>
        </w:rPr>
        <w:t xml:space="preserve">clear at appointment and at </w:t>
      </w:r>
      <w:r w:rsidR="0046369F" w:rsidRPr="3180AE77">
        <w:rPr>
          <w:lang w:val="en-GB"/>
        </w:rPr>
        <w:t>induction by the relevant Head of School</w:t>
      </w:r>
      <w:r w:rsidRPr="3180AE77">
        <w:rPr>
          <w:lang w:val="en-GB"/>
        </w:rPr>
        <w:fldChar w:fldCharType="begin"/>
      </w:r>
      <w:r w:rsidRPr="3180AE77">
        <w:rPr>
          <w:lang w:val="en-GB"/>
        </w:rPr>
        <w:instrText xml:space="preserve"> XE "</w:instrText>
      </w:r>
      <w:r w:rsidRPr="3180AE77">
        <w:rPr>
          <w:rFonts w:cs="Arial"/>
          <w:noProof/>
          <w:lang w:val="en-GB"/>
        </w:rPr>
        <w:instrText>Head of School:</w:instrText>
      </w:r>
      <w:r w:rsidRPr="3180AE77">
        <w:rPr>
          <w:lang w:val="en-GB"/>
        </w:rPr>
        <w:instrText xml:space="preserve">HoS" </w:instrText>
      </w:r>
      <w:r w:rsidRPr="3180AE77">
        <w:rPr>
          <w:lang w:val="en-GB"/>
        </w:rPr>
        <w:fldChar w:fldCharType="end"/>
      </w:r>
      <w:r w:rsidR="0046369F" w:rsidRPr="3180AE77">
        <w:rPr>
          <w:lang w:val="en-GB"/>
        </w:rPr>
        <w:t xml:space="preserve"> </w:t>
      </w:r>
      <w:r w:rsidR="0046369F" w:rsidRPr="3180AE77" w:rsidDel="0034310A">
        <w:rPr>
          <w:lang w:val="en-GB"/>
        </w:rPr>
        <w:t xml:space="preserve">or </w:t>
      </w:r>
      <w:r w:rsidR="0034310A">
        <w:rPr>
          <w:lang w:val="en-GB"/>
        </w:rPr>
        <w:t>nominee</w:t>
      </w:r>
      <w:r w:rsidR="0046369F" w:rsidRPr="3180AE77">
        <w:rPr>
          <w:lang w:val="en-GB"/>
        </w:rPr>
        <w:t>.</w:t>
      </w:r>
    </w:p>
    <w:p w14:paraId="3693F5E4" w14:textId="78FAADCD" w:rsidR="00AF4E12" w:rsidRPr="002B1AEB" w:rsidRDefault="0046369F" w:rsidP="008207E1">
      <w:pPr>
        <w:widowControl/>
        <w:rPr>
          <w:szCs w:val="24"/>
          <w:lang w:val="en-GB"/>
        </w:rPr>
      </w:pPr>
      <w:r w:rsidRPr="002B1AEB">
        <w:rPr>
          <w:szCs w:val="24"/>
          <w:lang w:val="en-GB"/>
        </w:rPr>
        <w:t xml:space="preserve">The University regards the external examiner’s report as a critical part of its quality assurance procedures. It is part of the contract with external examiners that the required report is produced annually. If an external examiner, following a reminder, does </w:t>
      </w:r>
      <w:r w:rsidRPr="0036551E">
        <w:rPr>
          <w:b/>
          <w:bCs/>
          <w:szCs w:val="24"/>
          <w:lang w:val="en-GB"/>
        </w:rPr>
        <w:t>not</w:t>
      </w:r>
      <w:r w:rsidRPr="002B1AEB">
        <w:rPr>
          <w:szCs w:val="24"/>
          <w:lang w:val="en-GB"/>
        </w:rPr>
        <w:t xml:space="preserve"> submit a report within one month of </w:t>
      </w:r>
      <w:r w:rsidR="00FC6CBF">
        <w:t xml:space="preserve">the last assessment board that considers </w:t>
      </w:r>
      <w:r w:rsidR="00DE7A12">
        <w:t xml:space="preserve">one or more of </w:t>
      </w:r>
      <w:r w:rsidR="00FC6CBF">
        <w:t>the modules within their remit</w:t>
      </w:r>
      <w:r w:rsidR="00D868CE">
        <w:t xml:space="preserve"> for that year/ cohort</w:t>
      </w:r>
      <w:r w:rsidRPr="002B1AEB">
        <w:rPr>
          <w:szCs w:val="24"/>
          <w:lang w:val="en-GB"/>
        </w:rPr>
        <w:t>, or the report is considered to be too cursory to be of value and requests for amplification are not responded to, the contract may be terminated forthwith</w:t>
      </w:r>
      <w:r w:rsidR="00674F90" w:rsidRPr="002B1AEB">
        <w:rPr>
          <w:szCs w:val="24"/>
          <w:lang w:val="en-GB"/>
        </w:rPr>
        <w:t>. T</w:t>
      </w:r>
      <w:r w:rsidRPr="002B1AEB">
        <w:rPr>
          <w:szCs w:val="24"/>
          <w:lang w:val="en-GB"/>
        </w:rPr>
        <w:t>he report will be regarded as a public document within the University and form</w:t>
      </w:r>
      <w:r w:rsidR="00B72E1B">
        <w:rPr>
          <w:szCs w:val="24"/>
          <w:lang w:val="en-GB"/>
        </w:rPr>
        <w:t>s</w:t>
      </w:r>
      <w:r w:rsidRPr="002B1AEB">
        <w:rPr>
          <w:szCs w:val="24"/>
          <w:lang w:val="en-GB"/>
        </w:rPr>
        <w:t xml:space="preserve"> part of the documentation for </w:t>
      </w:r>
      <w:r w:rsidR="001B62AF" w:rsidRPr="002B1AEB">
        <w:rPr>
          <w:szCs w:val="24"/>
          <w:lang w:val="en-GB"/>
        </w:rPr>
        <w:t xml:space="preserve">KCEP (substantive review) </w:t>
      </w:r>
      <w:r w:rsidRPr="002B1AEB">
        <w:rPr>
          <w:szCs w:val="24"/>
          <w:lang w:val="en-GB"/>
        </w:rPr>
        <w:t>panels, professional bodies</w:t>
      </w:r>
      <w:r w:rsidR="00E8058A">
        <w:rPr>
          <w:szCs w:val="24"/>
          <w:lang w:val="en-GB"/>
        </w:rPr>
        <w:t xml:space="preserve"> and Student Voice Committee meetings. </w:t>
      </w:r>
      <w:r w:rsidRPr="002B1AEB">
        <w:rPr>
          <w:szCs w:val="24"/>
          <w:lang w:val="en-GB"/>
        </w:rPr>
        <w:t xml:space="preserve">Individual students can also make an email request to </w:t>
      </w:r>
      <w:r w:rsidR="009C4669" w:rsidRPr="002B1AEB">
        <w:rPr>
          <w:szCs w:val="24"/>
          <w:lang w:val="en-GB"/>
        </w:rPr>
        <w:t>QAE</w:t>
      </w:r>
      <w:r w:rsidRPr="002B1AEB">
        <w:rPr>
          <w:szCs w:val="24"/>
          <w:lang w:val="en-GB"/>
        </w:rPr>
        <w:t xml:space="preserve"> for an external examiner’s report. </w:t>
      </w:r>
    </w:p>
    <w:p w14:paraId="5591D1CB" w14:textId="7D9FA9A5" w:rsidR="0046369F" w:rsidRPr="002B1AEB" w:rsidDel="00EA3AC0" w:rsidRDefault="0046369F" w:rsidP="008207E1">
      <w:pPr>
        <w:widowControl/>
        <w:rPr>
          <w:szCs w:val="24"/>
          <w:lang w:val="en-GB"/>
        </w:rPr>
      </w:pPr>
      <w:r w:rsidRPr="002B1AEB" w:rsidDel="00EA3AC0">
        <w:rPr>
          <w:szCs w:val="24"/>
          <w:lang w:val="en-GB"/>
        </w:rPr>
        <w:t xml:space="preserve">If necessary, </w:t>
      </w:r>
      <w:r w:rsidR="0028654E" w:rsidRPr="002B1AEB" w:rsidDel="00EA3AC0">
        <w:rPr>
          <w:szCs w:val="24"/>
          <w:lang w:val="en-GB"/>
        </w:rPr>
        <w:t xml:space="preserve">subject </w:t>
      </w:r>
      <w:r w:rsidRPr="002B1AEB" w:rsidDel="00EA3AC0">
        <w:rPr>
          <w:szCs w:val="24"/>
          <w:lang w:val="en-GB"/>
        </w:rPr>
        <w:t>external examiners can submit a separate confidential letter to the Vice-Chancellor.</w:t>
      </w:r>
      <w:r w:rsidR="00CF11B1" w:rsidRPr="002B1AEB" w:rsidDel="00EA3AC0">
        <w:rPr>
          <w:szCs w:val="24"/>
          <w:lang w:val="en-GB"/>
        </w:rPr>
        <w:t xml:space="preserve"> The confidential letter should be submitted in addition to the annual </w:t>
      </w:r>
      <w:r w:rsidR="00004013" w:rsidRPr="002B1AEB" w:rsidDel="00EA3AC0">
        <w:rPr>
          <w:szCs w:val="24"/>
          <w:lang w:val="en-GB"/>
        </w:rPr>
        <w:t>report,</w:t>
      </w:r>
      <w:r w:rsidR="00CF11B1" w:rsidRPr="002B1AEB" w:rsidDel="00EA3AC0">
        <w:rPr>
          <w:szCs w:val="24"/>
          <w:lang w:val="en-GB"/>
        </w:rPr>
        <w:t xml:space="preserve"> but the latter can refer to the fact that a confidential letter is also being </w:t>
      </w:r>
      <w:r w:rsidR="00CF11B1" w:rsidRPr="002B1AEB" w:rsidDel="00EA3AC0">
        <w:rPr>
          <w:szCs w:val="24"/>
          <w:lang w:val="en-GB"/>
        </w:rPr>
        <w:lastRenderedPageBreak/>
        <w:t>sent without disclosing the details. An acknowledgement letter will be sent to the examiner from the VC within one week of receipt of the letter. The examiner will receive a formal response, following a detailed investigation into the matter, within four weeks of receipt of the letter.</w:t>
      </w:r>
    </w:p>
    <w:p w14:paraId="439E7C6B" w14:textId="1B87788A" w:rsidR="0046369F" w:rsidRPr="002B1AEB" w:rsidRDefault="0046369F" w:rsidP="008207E1">
      <w:pPr>
        <w:pStyle w:val="Heading2"/>
        <w:rPr>
          <w:lang w:val="en-GB"/>
        </w:rPr>
      </w:pPr>
      <w:bookmarkStart w:id="29" w:name="_Toc172282925"/>
      <w:r w:rsidRPr="002B1AEB">
        <w:rPr>
          <w:lang w:val="en-GB"/>
        </w:rPr>
        <w:t>Feedback to external examiners</w:t>
      </w:r>
      <w:bookmarkEnd w:id="29"/>
    </w:p>
    <w:p w14:paraId="5CDF9A42" w14:textId="621D5609" w:rsidR="00DD11A9" w:rsidRPr="002B1AEB" w:rsidRDefault="00BE0D05" w:rsidP="4EF89A60">
      <w:pPr>
        <w:rPr>
          <w:lang w:val="en-GB"/>
        </w:rPr>
      </w:pPr>
      <w:r>
        <w:t xml:space="preserve">The key course contact should discuss any issues arising from the external examiner’s </w:t>
      </w:r>
      <w:r w:rsidR="00B76411">
        <w:t xml:space="preserve">audit of a sample of student work and the annual </w:t>
      </w:r>
      <w:r>
        <w:t xml:space="preserve">report appropriately during the academic year. This could be at the annual schedule of work meeting or </w:t>
      </w:r>
      <w:r w:rsidR="007939B6">
        <w:t xml:space="preserve">at </w:t>
      </w:r>
      <w:r w:rsidR="008D793D">
        <w:t xml:space="preserve">other </w:t>
      </w:r>
      <w:r w:rsidR="00A862CB">
        <w:t>designated point</w:t>
      </w:r>
      <w:r w:rsidR="009731B5">
        <w:t>s</w:t>
      </w:r>
      <w:r w:rsidR="00A862CB">
        <w:t xml:space="preserve"> in the year through correspondence, </w:t>
      </w:r>
      <w:r w:rsidR="005D53C2">
        <w:t>meetings or calls</w:t>
      </w:r>
      <w:r>
        <w:t xml:space="preserve">. </w:t>
      </w:r>
      <w:r w:rsidR="006938CA">
        <w:t>The</w:t>
      </w:r>
      <w:r w:rsidR="00CE3066">
        <w:t xml:space="preserve"> key course contact should </w:t>
      </w:r>
      <w:r w:rsidR="00FF4D67">
        <w:t xml:space="preserve">involve the University and/or Partner Liaison Officer as needed for </w:t>
      </w:r>
      <w:r w:rsidR="006A7211">
        <w:t xml:space="preserve">franchised or validated provision. </w:t>
      </w:r>
      <w:r w:rsidR="606D5037" w:rsidRPr="3180AE77">
        <w:rPr>
          <w:lang w:val="en-GB"/>
        </w:rPr>
        <w:t xml:space="preserve"> </w:t>
      </w:r>
    </w:p>
    <w:p w14:paraId="092DCD44" w14:textId="00EFE255" w:rsidR="0046369F" w:rsidRPr="002B1AEB" w:rsidRDefault="0046369F" w:rsidP="008207E1">
      <w:pPr>
        <w:pStyle w:val="Heading2"/>
        <w:rPr>
          <w:lang w:val="en-GB"/>
        </w:rPr>
      </w:pPr>
      <w:bookmarkStart w:id="30" w:name="_Toc172282926"/>
      <w:r w:rsidRPr="002B1AEB">
        <w:rPr>
          <w:lang w:val="en-GB"/>
        </w:rPr>
        <w:t>Data protection, freedom of information and copyright</w:t>
      </w:r>
      <w:bookmarkEnd w:id="30"/>
    </w:p>
    <w:p w14:paraId="51887400" w14:textId="42C66075" w:rsidR="0046369F" w:rsidRPr="002B1AEB" w:rsidRDefault="0046369F" w:rsidP="008207E1">
      <w:pPr>
        <w:rPr>
          <w:lang w:val="en-GB"/>
        </w:rPr>
      </w:pPr>
      <w:r w:rsidRPr="002B1AEB">
        <w:rPr>
          <w:lang w:val="en-GB"/>
        </w:rPr>
        <w:t>The University will use personal data submitted by the external examiner for the payment of fees and expenses, and for other necessary communication in connection with the external examiner’s contract. Where required for these purposes, this data will be shared with other departments of the University</w:t>
      </w:r>
      <w:r w:rsidR="0096655F">
        <w:rPr>
          <w:lang w:val="en-GB"/>
        </w:rPr>
        <w:t xml:space="preserve"> and/or c</w:t>
      </w:r>
      <w:r w:rsidR="00AC0401">
        <w:rPr>
          <w:lang w:val="en-GB"/>
        </w:rPr>
        <w:t>olleagues at collaborative partner institutions</w:t>
      </w:r>
      <w:r w:rsidRPr="002B1AEB">
        <w:rPr>
          <w:lang w:val="en-GB"/>
        </w:rPr>
        <w:t>.</w:t>
      </w:r>
    </w:p>
    <w:p w14:paraId="27E88F58" w14:textId="1C62276A" w:rsidR="0046369F" w:rsidRPr="002B1AEB" w:rsidRDefault="0046369F" w:rsidP="008207E1">
      <w:pPr>
        <w:rPr>
          <w:lang w:val="en-GB"/>
        </w:rPr>
      </w:pPr>
      <w:r w:rsidRPr="002B1AEB">
        <w:rPr>
          <w:lang w:val="en-GB"/>
        </w:rPr>
        <w:t xml:space="preserve">In accordance with the University’s Data Protection </w:t>
      </w:r>
      <w:r w:rsidR="001503F5" w:rsidRPr="002B1AEB">
        <w:rPr>
          <w:lang w:val="en-GB"/>
        </w:rPr>
        <w:t>Policy,</w:t>
      </w:r>
      <w:r w:rsidRPr="002B1AEB">
        <w:rPr>
          <w:lang w:val="en-GB"/>
        </w:rPr>
        <w:t xml:space="preserve"> which is based upon the Data Prote</w:t>
      </w:r>
      <w:r w:rsidR="003F21BB" w:rsidRPr="002B1AEB">
        <w:rPr>
          <w:lang w:val="en-GB"/>
        </w:rPr>
        <w:t>ction Act 2018</w:t>
      </w:r>
      <w:r w:rsidRPr="002B1AEB">
        <w:rPr>
          <w:lang w:val="en-GB"/>
        </w:rPr>
        <w:t>, staff members must not disclose external examiners’ personal data, including contact details, to any person or body outside the University without the consent of the external examiner.</w:t>
      </w:r>
    </w:p>
    <w:p w14:paraId="558B7630" w14:textId="63C9F958" w:rsidR="00C66EF1" w:rsidRPr="00B37A9E" w:rsidRDefault="00C66EF1" w:rsidP="00B37A9E">
      <w:pPr>
        <w:pStyle w:val="NoSpacing"/>
        <w:rPr>
          <w:rFonts w:cs="Arial"/>
          <w:szCs w:val="24"/>
          <w:lang w:val="en-US"/>
        </w:rPr>
      </w:pPr>
      <w:r w:rsidRPr="00B37A9E">
        <w:rPr>
          <w:rFonts w:ascii="Arial" w:hAnsi="Arial" w:cs="Arial"/>
          <w:snapToGrid w:val="0"/>
          <w:sz w:val="24"/>
          <w:szCs w:val="24"/>
          <w:lang w:val="en-US"/>
        </w:rPr>
        <w:t>An external examiner’s annual report, which includes only their full name, will be made available to University staff, students and collaborative partners (if applicable) as part of the University’s quality assurance and continuous enhancement processes, including substantive review and internal quality audit. External examiners’ reports may also be circulated as part of external audit processes or in response to requests by Professional, Statutory and Regulatory Bodies (PSRBs) for (re)accreditation submissions.</w:t>
      </w:r>
    </w:p>
    <w:p w14:paraId="719AC53E" w14:textId="0C80CACC" w:rsidR="0046369F" w:rsidRPr="002B1AEB" w:rsidRDefault="009E5EAA" w:rsidP="008207E1">
      <w:pPr>
        <w:rPr>
          <w:lang w:val="en-GB"/>
        </w:rPr>
      </w:pPr>
      <w:r w:rsidRPr="002B1AEB">
        <w:rPr>
          <w:lang w:val="en-GB"/>
        </w:rPr>
        <w:t>C</w:t>
      </w:r>
      <w:r w:rsidR="0046369F" w:rsidRPr="002B1AEB">
        <w:rPr>
          <w:lang w:val="en-GB"/>
        </w:rPr>
        <w:t>omments and opinions expressed by an external examiner about individual students during the assessment process may be disclosed to the student concerned, if the student makes a Subject Access Request under the Data Protection Act.</w:t>
      </w:r>
    </w:p>
    <w:p w14:paraId="598DC8FE" w14:textId="72D67359" w:rsidR="0046369F" w:rsidRPr="002B1AEB" w:rsidRDefault="0046369F" w:rsidP="008207E1">
      <w:pPr>
        <w:rPr>
          <w:lang w:val="en-GB"/>
        </w:rPr>
      </w:pPr>
      <w:r w:rsidRPr="3180AE77">
        <w:rPr>
          <w:lang w:val="en-GB"/>
        </w:rPr>
        <w:t xml:space="preserve">An external examiner is entitled to make a Subject Access Request under the Data Protection Act to see memoranda, emails and other communications relating </w:t>
      </w:r>
      <w:r w:rsidR="008120A9" w:rsidRPr="3180AE77">
        <w:rPr>
          <w:lang w:val="en-GB"/>
        </w:rPr>
        <w:t xml:space="preserve">to </w:t>
      </w:r>
      <w:r w:rsidRPr="3180AE77">
        <w:rPr>
          <w:lang w:val="en-GB"/>
        </w:rPr>
        <w:t>their appointment, including opinions expressed in a professional capacity about their appointment.</w:t>
      </w:r>
    </w:p>
    <w:p w14:paraId="71A9ED6E" w14:textId="5814E408" w:rsidR="0046369F" w:rsidRPr="002B1AEB" w:rsidRDefault="0046369F" w:rsidP="008207E1">
      <w:pPr>
        <w:rPr>
          <w:lang w:val="en-GB"/>
        </w:rPr>
      </w:pPr>
      <w:r w:rsidRPr="002B1AEB">
        <w:rPr>
          <w:lang w:val="en-GB"/>
        </w:rPr>
        <w:t>Under the Freedom of Information Act, the University will provide copies of external examiners’ reports to third parties who make a lawful request for these. Reports will normally retain examiners’ names. The University will consider any reasonable request from external examiners to anonymise their reports. Such a request should be made in writing and submitted with the report.</w:t>
      </w:r>
    </w:p>
    <w:p w14:paraId="583C791C" w14:textId="141FCD0A" w:rsidR="009A60EE" w:rsidRPr="002B1AEB" w:rsidRDefault="0046369F" w:rsidP="008207E1">
      <w:pPr>
        <w:rPr>
          <w:lang w:val="en-GB"/>
        </w:rPr>
      </w:pPr>
      <w:r w:rsidRPr="002B1AEB">
        <w:rPr>
          <w:lang w:val="en-GB"/>
        </w:rPr>
        <w:t>Copyright in all external examiners' reports will be owned by the University. Examiners will not be permitted to retain their moral rights (under the Copyright Act) in the reports as the University may choose to anonymise the reports, as appropriate.</w:t>
      </w:r>
    </w:p>
    <w:p w14:paraId="22EBC1F1" w14:textId="03AF996C" w:rsidR="00C60EB3" w:rsidRPr="002B1AEB" w:rsidRDefault="4082E650">
      <w:r w:rsidRPr="6BA606F6">
        <w:rPr>
          <w:lang w:val="en-GB"/>
        </w:rPr>
        <w:t>External examiners will be granted access to the University’s External Examiner</w:t>
      </w:r>
      <w:r w:rsidR="6B2266F2" w:rsidRPr="6BA606F6">
        <w:rPr>
          <w:lang w:val="en-GB"/>
        </w:rPr>
        <w:t xml:space="preserve">s’ </w:t>
      </w:r>
      <w:r w:rsidR="6B2266F2" w:rsidRPr="6BA606F6">
        <w:rPr>
          <w:lang w:val="en-GB"/>
        </w:rPr>
        <w:lastRenderedPageBreak/>
        <w:t>Reporting System (EER</w:t>
      </w:r>
      <w:r w:rsidR="00F83C66" w:rsidRPr="6BA606F6">
        <w:rPr>
          <w:lang w:val="en-GB"/>
        </w:rPr>
        <w:t>S</w:t>
      </w:r>
      <w:r w:rsidR="6B2266F2" w:rsidRPr="6BA606F6">
        <w:rPr>
          <w:lang w:val="en-GB"/>
        </w:rPr>
        <w:t>)</w:t>
      </w:r>
      <w:r w:rsidR="00D217E9" w:rsidRPr="6BA606F6">
        <w:rPr>
          <w:lang w:val="en-GB"/>
        </w:rPr>
        <w:t>,</w:t>
      </w:r>
      <w:r w:rsidR="6B2266F2" w:rsidRPr="6BA606F6">
        <w:rPr>
          <w:lang w:val="en-GB"/>
        </w:rPr>
        <w:t xml:space="preserve"> Canvas</w:t>
      </w:r>
      <w:r w:rsidRPr="6BA606F6">
        <w:rPr>
          <w:lang w:val="en-GB"/>
        </w:rPr>
        <w:t xml:space="preserve"> </w:t>
      </w:r>
      <w:r w:rsidR="6B2266F2" w:rsidRPr="6BA606F6">
        <w:rPr>
          <w:lang w:val="en-GB"/>
        </w:rPr>
        <w:t>(</w:t>
      </w:r>
      <w:r w:rsidRPr="6BA606F6">
        <w:rPr>
          <w:lang w:val="en-GB"/>
        </w:rPr>
        <w:t>the University’s virtual learning environment</w:t>
      </w:r>
      <w:r w:rsidR="6B2266F2" w:rsidRPr="6BA606F6">
        <w:rPr>
          <w:lang w:val="en-GB"/>
        </w:rPr>
        <w:t xml:space="preserve">) and </w:t>
      </w:r>
      <w:r w:rsidR="00EE4C37" w:rsidRPr="6BA606F6">
        <w:rPr>
          <w:lang w:val="en-GB"/>
        </w:rPr>
        <w:t xml:space="preserve">SharePoint </w:t>
      </w:r>
      <w:r w:rsidR="003679CD" w:rsidRPr="6BA606F6">
        <w:rPr>
          <w:lang w:val="en-GB"/>
        </w:rPr>
        <w:t>(file sharing system)</w:t>
      </w:r>
      <w:r w:rsidR="43DF4D75" w:rsidRPr="6BA606F6">
        <w:rPr>
          <w:lang w:val="en-GB"/>
        </w:rPr>
        <w:t>. Further guidance on access to module material and sample student work will be provided by the department/school</w:t>
      </w:r>
      <w:r w:rsidRPr="6BA606F6">
        <w:rPr>
          <w:lang w:val="en-GB"/>
        </w:rPr>
        <w:t>.</w:t>
      </w:r>
      <w:r w:rsidR="43DF4D75" w:rsidRPr="6BA606F6">
        <w:rPr>
          <w:lang w:val="en-GB"/>
        </w:rPr>
        <w:t xml:space="preserve"> </w:t>
      </w:r>
      <w:r w:rsidRPr="6BA606F6">
        <w:rPr>
          <w:lang w:val="en-GB"/>
        </w:rPr>
        <w:t xml:space="preserve">External examiners are not permitted to add, remove or delete material from module </w:t>
      </w:r>
      <w:r w:rsidR="00BC6013" w:rsidRPr="6BA606F6">
        <w:rPr>
          <w:lang w:val="en-GB"/>
        </w:rPr>
        <w:t xml:space="preserve">pages or </w:t>
      </w:r>
      <w:r w:rsidR="00950480" w:rsidRPr="6BA606F6">
        <w:rPr>
          <w:lang w:val="en-GB"/>
        </w:rPr>
        <w:t>folders</w:t>
      </w:r>
      <w:r w:rsidRPr="6BA606F6">
        <w:rPr>
          <w:lang w:val="en-GB"/>
        </w:rPr>
        <w:t xml:space="preserve">. </w:t>
      </w:r>
    </w:p>
    <w:sectPr w:rsidR="00C60EB3" w:rsidRPr="002B1AEB" w:rsidSect="007110B4">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81330" w14:textId="77777777" w:rsidR="004A53F7" w:rsidRDefault="004A53F7" w:rsidP="0046369F">
      <w:r>
        <w:separator/>
      </w:r>
    </w:p>
  </w:endnote>
  <w:endnote w:type="continuationSeparator" w:id="0">
    <w:p w14:paraId="7828607F" w14:textId="77777777" w:rsidR="004A53F7" w:rsidRDefault="004A53F7" w:rsidP="0046369F">
      <w:r>
        <w:continuationSeparator/>
      </w:r>
    </w:p>
  </w:endnote>
  <w:endnote w:type="continuationNotice" w:id="1">
    <w:p w14:paraId="7C9FED70" w14:textId="77777777" w:rsidR="004A53F7" w:rsidRDefault="004A53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1A2A2" w14:textId="25CC8641" w:rsidR="003C6410" w:rsidRPr="00481D40" w:rsidRDefault="30817563" w:rsidP="30817563">
    <w:pPr>
      <w:pStyle w:val="Footer"/>
      <w:pBdr>
        <w:top w:val="single" w:sz="4" w:space="1" w:color="auto"/>
      </w:pBdr>
      <w:tabs>
        <w:tab w:val="center" w:pos="4678"/>
        <w:tab w:val="right" w:pos="9072"/>
      </w:tabs>
      <w:ind w:right="-23"/>
      <w:rPr>
        <w:rFonts w:cs="Arial"/>
        <w:sz w:val="16"/>
        <w:szCs w:val="16"/>
        <w:lang w:val="en-GB"/>
      </w:rPr>
    </w:pPr>
    <w:r w:rsidRPr="30817563">
      <w:rPr>
        <w:rFonts w:cs="Arial"/>
        <w:sz w:val="16"/>
        <w:szCs w:val="16"/>
        <w:lang w:val="en-GB"/>
      </w:rPr>
      <w:t>AQSH: Guidance IG(iv)</w:t>
    </w:r>
    <w:r w:rsidR="53B16ABF">
      <w:tab/>
    </w:r>
    <w:r w:rsidRPr="30817563">
      <w:rPr>
        <w:sz w:val="16"/>
        <w:szCs w:val="16"/>
      </w:rPr>
      <w:t xml:space="preserve">                                                           2025-26                                                             </w:t>
    </w:r>
    <w:r w:rsidRPr="30817563">
      <w:rPr>
        <w:rFonts w:cs="Arial"/>
        <w:sz w:val="16"/>
        <w:szCs w:val="16"/>
        <w:lang w:val="en-GB"/>
      </w:rPr>
      <w:t xml:space="preserve">Page </w:t>
    </w:r>
    <w:r w:rsidR="53B16ABF" w:rsidRPr="30817563">
      <w:rPr>
        <w:rFonts w:cs="Arial"/>
        <w:noProof/>
        <w:sz w:val="16"/>
        <w:szCs w:val="16"/>
        <w:lang w:val="en-GB"/>
      </w:rPr>
      <w:fldChar w:fldCharType="begin"/>
    </w:r>
    <w:r w:rsidR="53B16ABF" w:rsidRPr="30817563">
      <w:rPr>
        <w:rFonts w:cs="Arial"/>
        <w:sz w:val="16"/>
        <w:szCs w:val="16"/>
        <w:lang w:val="en-GB"/>
      </w:rPr>
      <w:instrText xml:space="preserve"> PAGE </w:instrText>
    </w:r>
    <w:r w:rsidR="53B16ABF" w:rsidRPr="30817563">
      <w:rPr>
        <w:rFonts w:cs="Arial"/>
        <w:sz w:val="16"/>
        <w:szCs w:val="16"/>
        <w:lang w:val="en-GB"/>
      </w:rPr>
      <w:fldChar w:fldCharType="separate"/>
    </w:r>
    <w:r w:rsidRPr="30817563">
      <w:rPr>
        <w:rFonts w:cs="Arial"/>
        <w:noProof/>
        <w:sz w:val="16"/>
        <w:szCs w:val="16"/>
        <w:lang w:val="en-GB"/>
      </w:rPr>
      <w:t>5</w:t>
    </w:r>
    <w:r w:rsidR="53B16ABF" w:rsidRPr="30817563">
      <w:rPr>
        <w:rFonts w:cs="Arial"/>
        <w:noProof/>
        <w:sz w:val="16"/>
        <w:szCs w:val="16"/>
        <w:lang w:val="en-GB"/>
      </w:rPr>
      <w:fldChar w:fldCharType="end"/>
    </w:r>
    <w:r w:rsidRPr="30817563">
      <w:rPr>
        <w:rFonts w:cs="Arial"/>
        <w:sz w:val="16"/>
        <w:szCs w:val="16"/>
        <w:lang w:val="en-GB"/>
      </w:rPr>
      <w:t xml:space="preserve"> of </w:t>
    </w:r>
    <w:r w:rsidR="53B16ABF" w:rsidRPr="30817563">
      <w:rPr>
        <w:rFonts w:cs="Arial"/>
        <w:noProof/>
        <w:sz w:val="16"/>
        <w:szCs w:val="16"/>
        <w:lang w:val="en-GB"/>
      </w:rPr>
      <w:fldChar w:fldCharType="begin"/>
    </w:r>
    <w:r w:rsidR="53B16ABF" w:rsidRPr="30817563">
      <w:rPr>
        <w:rFonts w:cs="Arial"/>
        <w:sz w:val="16"/>
        <w:szCs w:val="16"/>
        <w:lang w:val="en-GB"/>
      </w:rPr>
      <w:instrText xml:space="preserve"> NUMPAGES </w:instrText>
    </w:r>
    <w:r w:rsidR="53B16ABF" w:rsidRPr="30817563">
      <w:rPr>
        <w:rFonts w:cs="Arial"/>
        <w:sz w:val="16"/>
        <w:szCs w:val="16"/>
        <w:lang w:val="en-GB"/>
      </w:rPr>
      <w:fldChar w:fldCharType="separate"/>
    </w:r>
    <w:r w:rsidRPr="30817563">
      <w:rPr>
        <w:rFonts w:cs="Arial"/>
        <w:noProof/>
        <w:sz w:val="16"/>
        <w:szCs w:val="16"/>
        <w:lang w:val="en-GB"/>
      </w:rPr>
      <w:t>6</w:t>
    </w:r>
    <w:r w:rsidR="53B16ABF" w:rsidRPr="30817563">
      <w:rPr>
        <w:rFonts w:cs="Arial"/>
        <w:noProof/>
        <w:sz w:val="16"/>
        <w:szCs w:val="16"/>
        <w:lang w:val="en-GB"/>
      </w:rPr>
      <w:fldChar w:fldCharType="end"/>
    </w:r>
  </w:p>
  <w:p w14:paraId="1FC92BB2" w14:textId="77777777" w:rsidR="0046369F" w:rsidRPr="00110C58" w:rsidRDefault="0046369F" w:rsidP="003C6410">
    <w:pPr>
      <w:pStyle w:val="Footer"/>
      <w:tabs>
        <w:tab w:val="center" w:pos="7513"/>
      </w:tabs>
      <w:ind w:hanging="709"/>
      <w:rPr>
        <w:rFonts w:cs="Arial"/>
        <w:sz w:val="16"/>
        <w:szCs w:val="16"/>
      </w:rPr>
    </w:pPr>
  </w:p>
  <w:p w14:paraId="039E1579" w14:textId="77777777" w:rsidR="0046369F" w:rsidRDefault="0046369F" w:rsidP="003C6410">
    <w:pPr>
      <w:pStyle w:val="Footer"/>
    </w:pPr>
  </w:p>
  <w:p w14:paraId="62AA7336" w14:textId="77777777" w:rsidR="0046369F" w:rsidRDefault="0046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B993" w14:textId="77777777" w:rsidR="004A53F7" w:rsidRDefault="004A53F7" w:rsidP="0046369F">
      <w:r>
        <w:separator/>
      </w:r>
    </w:p>
  </w:footnote>
  <w:footnote w:type="continuationSeparator" w:id="0">
    <w:p w14:paraId="14444CD6" w14:textId="77777777" w:rsidR="004A53F7" w:rsidRDefault="004A53F7" w:rsidP="0046369F">
      <w:r>
        <w:continuationSeparator/>
      </w:r>
    </w:p>
  </w:footnote>
  <w:footnote w:type="continuationNotice" w:id="1">
    <w:p w14:paraId="2CF2E93F" w14:textId="77777777" w:rsidR="004A53F7" w:rsidRDefault="004A53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2B58" w14:textId="77777777" w:rsidR="00527F70" w:rsidRPr="000B1DCA" w:rsidRDefault="00527F70" w:rsidP="000B1DCA">
    <w:pPr>
      <w:pStyle w:val="Header"/>
      <w:tabs>
        <w:tab w:val="right" w:pos="14601"/>
      </w:tabs>
      <w:jc w:val="right"/>
      <w:rPr>
        <w:rFonts w:ascii="Calibri Light" w:hAnsi="Calibri Light" w:cs="Calibri Light"/>
        <w:b/>
        <w:snapToGrid/>
        <w:color w:val="FF0000"/>
        <w:sz w:val="28"/>
        <w:szCs w:val="28"/>
      </w:rPr>
    </w:pPr>
    <w:r>
      <w:rPr>
        <w:rFonts w:cs="Arial"/>
        <w:sz w:val="16"/>
        <w:szCs w:val="16"/>
        <w:lang w:val="en-GB"/>
      </w:rPr>
      <w:tab/>
    </w:r>
    <w:r>
      <w:rPr>
        <w:rFonts w:cs="Arial"/>
        <w:sz w:val="16"/>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01437"/>
    <w:multiLevelType w:val="hybridMultilevel"/>
    <w:tmpl w:val="771E2074"/>
    <w:lvl w:ilvl="0" w:tplc="6A3CDB82">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39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9F"/>
    <w:rsid w:val="00000027"/>
    <w:rsid w:val="000002E1"/>
    <w:rsid w:val="0000202E"/>
    <w:rsid w:val="0000390F"/>
    <w:rsid w:val="00004013"/>
    <w:rsid w:val="000064D3"/>
    <w:rsid w:val="00006DB7"/>
    <w:rsid w:val="000079EC"/>
    <w:rsid w:val="00010E72"/>
    <w:rsid w:val="00011600"/>
    <w:rsid w:val="00012B0F"/>
    <w:rsid w:val="00012B2F"/>
    <w:rsid w:val="000138AA"/>
    <w:rsid w:val="00013B44"/>
    <w:rsid w:val="00013D97"/>
    <w:rsid w:val="00014CCC"/>
    <w:rsid w:val="000159E3"/>
    <w:rsid w:val="00020FB7"/>
    <w:rsid w:val="00021AFF"/>
    <w:rsid w:val="00021EA3"/>
    <w:rsid w:val="00022A9E"/>
    <w:rsid w:val="00022C89"/>
    <w:rsid w:val="00023EE0"/>
    <w:rsid w:val="00025B49"/>
    <w:rsid w:val="00026D21"/>
    <w:rsid w:val="000277F4"/>
    <w:rsid w:val="000301A9"/>
    <w:rsid w:val="0003162F"/>
    <w:rsid w:val="0003175B"/>
    <w:rsid w:val="00031E53"/>
    <w:rsid w:val="00031FBB"/>
    <w:rsid w:val="00032DC8"/>
    <w:rsid w:val="00033134"/>
    <w:rsid w:val="000335E4"/>
    <w:rsid w:val="00033A10"/>
    <w:rsid w:val="0003562C"/>
    <w:rsid w:val="00035D6B"/>
    <w:rsid w:val="00037212"/>
    <w:rsid w:val="0003722D"/>
    <w:rsid w:val="00040D52"/>
    <w:rsid w:val="00041914"/>
    <w:rsid w:val="00041F69"/>
    <w:rsid w:val="00042B00"/>
    <w:rsid w:val="00042F42"/>
    <w:rsid w:val="00043022"/>
    <w:rsid w:val="000432CF"/>
    <w:rsid w:val="00044BC1"/>
    <w:rsid w:val="000452F2"/>
    <w:rsid w:val="00047358"/>
    <w:rsid w:val="000519D8"/>
    <w:rsid w:val="00052779"/>
    <w:rsid w:val="0005282F"/>
    <w:rsid w:val="00053333"/>
    <w:rsid w:val="00053F3F"/>
    <w:rsid w:val="00054336"/>
    <w:rsid w:val="0005477A"/>
    <w:rsid w:val="00054B0D"/>
    <w:rsid w:val="000551E3"/>
    <w:rsid w:val="000637BA"/>
    <w:rsid w:val="00063A37"/>
    <w:rsid w:val="00064204"/>
    <w:rsid w:val="00064350"/>
    <w:rsid w:val="00067DF6"/>
    <w:rsid w:val="00073A70"/>
    <w:rsid w:val="00075169"/>
    <w:rsid w:val="0007617F"/>
    <w:rsid w:val="00076E42"/>
    <w:rsid w:val="0007767E"/>
    <w:rsid w:val="00077BF6"/>
    <w:rsid w:val="00080028"/>
    <w:rsid w:val="00081F95"/>
    <w:rsid w:val="00082DA9"/>
    <w:rsid w:val="000836F1"/>
    <w:rsid w:val="000842BD"/>
    <w:rsid w:val="00084B12"/>
    <w:rsid w:val="00084E77"/>
    <w:rsid w:val="00085064"/>
    <w:rsid w:val="000852CC"/>
    <w:rsid w:val="00085856"/>
    <w:rsid w:val="00085E7B"/>
    <w:rsid w:val="00087608"/>
    <w:rsid w:val="00090423"/>
    <w:rsid w:val="00092564"/>
    <w:rsid w:val="00093034"/>
    <w:rsid w:val="000943DF"/>
    <w:rsid w:val="0009486D"/>
    <w:rsid w:val="000967F2"/>
    <w:rsid w:val="000A041D"/>
    <w:rsid w:val="000A4168"/>
    <w:rsid w:val="000A5959"/>
    <w:rsid w:val="000A61FD"/>
    <w:rsid w:val="000A63BA"/>
    <w:rsid w:val="000A730B"/>
    <w:rsid w:val="000A7CC3"/>
    <w:rsid w:val="000B0843"/>
    <w:rsid w:val="000B129A"/>
    <w:rsid w:val="000B1DCA"/>
    <w:rsid w:val="000B269C"/>
    <w:rsid w:val="000B2713"/>
    <w:rsid w:val="000B302B"/>
    <w:rsid w:val="000B4483"/>
    <w:rsid w:val="000B4FC2"/>
    <w:rsid w:val="000B6810"/>
    <w:rsid w:val="000B71DA"/>
    <w:rsid w:val="000C1E8B"/>
    <w:rsid w:val="000C2113"/>
    <w:rsid w:val="000C265B"/>
    <w:rsid w:val="000C3561"/>
    <w:rsid w:val="000C38E2"/>
    <w:rsid w:val="000C51EA"/>
    <w:rsid w:val="000C55E0"/>
    <w:rsid w:val="000C6BCB"/>
    <w:rsid w:val="000C7001"/>
    <w:rsid w:val="000D2780"/>
    <w:rsid w:val="000D47BE"/>
    <w:rsid w:val="000D4A4A"/>
    <w:rsid w:val="000D5169"/>
    <w:rsid w:val="000D5621"/>
    <w:rsid w:val="000D5F7A"/>
    <w:rsid w:val="000D6452"/>
    <w:rsid w:val="000D6D4B"/>
    <w:rsid w:val="000E0BD5"/>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059"/>
    <w:rsid w:val="001066A8"/>
    <w:rsid w:val="0010707B"/>
    <w:rsid w:val="00107B05"/>
    <w:rsid w:val="001101E9"/>
    <w:rsid w:val="00110211"/>
    <w:rsid w:val="001102AA"/>
    <w:rsid w:val="00111690"/>
    <w:rsid w:val="00111F95"/>
    <w:rsid w:val="00113270"/>
    <w:rsid w:val="001132EB"/>
    <w:rsid w:val="00113B03"/>
    <w:rsid w:val="00114F7B"/>
    <w:rsid w:val="00120275"/>
    <w:rsid w:val="0012181E"/>
    <w:rsid w:val="00123689"/>
    <w:rsid w:val="0012438B"/>
    <w:rsid w:val="0012492D"/>
    <w:rsid w:val="00127EBD"/>
    <w:rsid w:val="00127F82"/>
    <w:rsid w:val="00130DA8"/>
    <w:rsid w:val="001323B3"/>
    <w:rsid w:val="001332D8"/>
    <w:rsid w:val="00133E6E"/>
    <w:rsid w:val="0013493F"/>
    <w:rsid w:val="001354BD"/>
    <w:rsid w:val="00135B76"/>
    <w:rsid w:val="00135FE2"/>
    <w:rsid w:val="00136145"/>
    <w:rsid w:val="001405B5"/>
    <w:rsid w:val="00140DB2"/>
    <w:rsid w:val="001412F0"/>
    <w:rsid w:val="001413CE"/>
    <w:rsid w:val="00142485"/>
    <w:rsid w:val="00145B29"/>
    <w:rsid w:val="00145B3C"/>
    <w:rsid w:val="00145B6E"/>
    <w:rsid w:val="001466F7"/>
    <w:rsid w:val="00146CB2"/>
    <w:rsid w:val="00146E3D"/>
    <w:rsid w:val="00147ABC"/>
    <w:rsid w:val="001503F5"/>
    <w:rsid w:val="00151883"/>
    <w:rsid w:val="00152460"/>
    <w:rsid w:val="001525D2"/>
    <w:rsid w:val="00154831"/>
    <w:rsid w:val="00155C89"/>
    <w:rsid w:val="00157055"/>
    <w:rsid w:val="00160E05"/>
    <w:rsid w:val="001640D0"/>
    <w:rsid w:val="00164360"/>
    <w:rsid w:val="00165025"/>
    <w:rsid w:val="00165B4D"/>
    <w:rsid w:val="00165BCF"/>
    <w:rsid w:val="001665D4"/>
    <w:rsid w:val="00166D8E"/>
    <w:rsid w:val="00167F4C"/>
    <w:rsid w:val="00172B08"/>
    <w:rsid w:val="001731C4"/>
    <w:rsid w:val="001733C5"/>
    <w:rsid w:val="00174337"/>
    <w:rsid w:val="00177B42"/>
    <w:rsid w:val="00181451"/>
    <w:rsid w:val="00181A82"/>
    <w:rsid w:val="001827B3"/>
    <w:rsid w:val="00183084"/>
    <w:rsid w:val="00185D46"/>
    <w:rsid w:val="00186E41"/>
    <w:rsid w:val="001927C3"/>
    <w:rsid w:val="001949ED"/>
    <w:rsid w:val="0019610A"/>
    <w:rsid w:val="00196F19"/>
    <w:rsid w:val="0019750D"/>
    <w:rsid w:val="001A104C"/>
    <w:rsid w:val="001A111E"/>
    <w:rsid w:val="001A1738"/>
    <w:rsid w:val="001A2444"/>
    <w:rsid w:val="001A27E2"/>
    <w:rsid w:val="001A2BA0"/>
    <w:rsid w:val="001A3164"/>
    <w:rsid w:val="001A430F"/>
    <w:rsid w:val="001A5630"/>
    <w:rsid w:val="001A756B"/>
    <w:rsid w:val="001B0F03"/>
    <w:rsid w:val="001B2282"/>
    <w:rsid w:val="001B3677"/>
    <w:rsid w:val="001B523C"/>
    <w:rsid w:val="001B600B"/>
    <w:rsid w:val="001B62AF"/>
    <w:rsid w:val="001B683B"/>
    <w:rsid w:val="001B6921"/>
    <w:rsid w:val="001B7F12"/>
    <w:rsid w:val="001C1257"/>
    <w:rsid w:val="001C1F00"/>
    <w:rsid w:val="001C3EDA"/>
    <w:rsid w:val="001C416E"/>
    <w:rsid w:val="001C4573"/>
    <w:rsid w:val="001C4C15"/>
    <w:rsid w:val="001C5431"/>
    <w:rsid w:val="001C55A2"/>
    <w:rsid w:val="001D0537"/>
    <w:rsid w:val="001D0B09"/>
    <w:rsid w:val="001D0E9C"/>
    <w:rsid w:val="001D1149"/>
    <w:rsid w:val="001D223B"/>
    <w:rsid w:val="001D2CF2"/>
    <w:rsid w:val="001D7D6F"/>
    <w:rsid w:val="001E0808"/>
    <w:rsid w:val="001E0868"/>
    <w:rsid w:val="001E25CD"/>
    <w:rsid w:val="001E2DD8"/>
    <w:rsid w:val="001F0386"/>
    <w:rsid w:val="001F074C"/>
    <w:rsid w:val="001F11AD"/>
    <w:rsid w:val="001F170F"/>
    <w:rsid w:val="001F3036"/>
    <w:rsid w:val="001F6AFA"/>
    <w:rsid w:val="0020178F"/>
    <w:rsid w:val="00205369"/>
    <w:rsid w:val="002065BC"/>
    <w:rsid w:val="00207199"/>
    <w:rsid w:val="00207D6E"/>
    <w:rsid w:val="00210A85"/>
    <w:rsid w:val="0021126F"/>
    <w:rsid w:val="002136E3"/>
    <w:rsid w:val="00213E69"/>
    <w:rsid w:val="00213FCB"/>
    <w:rsid w:val="00214BD4"/>
    <w:rsid w:val="00216E34"/>
    <w:rsid w:val="00216E66"/>
    <w:rsid w:val="00222220"/>
    <w:rsid w:val="002232C1"/>
    <w:rsid w:val="00223D49"/>
    <w:rsid w:val="002245B5"/>
    <w:rsid w:val="00225103"/>
    <w:rsid w:val="002256F6"/>
    <w:rsid w:val="002262FA"/>
    <w:rsid w:val="00227BD1"/>
    <w:rsid w:val="00231659"/>
    <w:rsid w:val="00232FBD"/>
    <w:rsid w:val="002331FE"/>
    <w:rsid w:val="0023442D"/>
    <w:rsid w:val="0023524C"/>
    <w:rsid w:val="00235637"/>
    <w:rsid w:val="00237043"/>
    <w:rsid w:val="002371A8"/>
    <w:rsid w:val="00237A8A"/>
    <w:rsid w:val="00241DCB"/>
    <w:rsid w:val="002421F8"/>
    <w:rsid w:val="00243B7B"/>
    <w:rsid w:val="0024644D"/>
    <w:rsid w:val="00250FE3"/>
    <w:rsid w:val="002515EA"/>
    <w:rsid w:val="00251D6D"/>
    <w:rsid w:val="00252267"/>
    <w:rsid w:val="002527DE"/>
    <w:rsid w:val="00253A26"/>
    <w:rsid w:val="002541D6"/>
    <w:rsid w:val="00254800"/>
    <w:rsid w:val="00256132"/>
    <w:rsid w:val="00256E5C"/>
    <w:rsid w:val="002606E3"/>
    <w:rsid w:val="00260BC0"/>
    <w:rsid w:val="002614FD"/>
    <w:rsid w:val="002617FA"/>
    <w:rsid w:val="00263780"/>
    <w:rsid w:val="00263CAD"/>
    <w:rsid w:val="002644BD"/>
    <w:rsid w:val="0026460C"/>
    <w:rsid w:val="002705C2"/>
    <w:rsid w:val="00271DEC"/>
    <w:rsid w:val="00272537"/>
    <w:rsid w:val="00272562"/>
    <w:rsid w:val="0027491B"/>
    <w:rsid w:val="002749F8"/>
    <w:rsid w:val="00275B94"/>
    <w:rsid w:val="00275E19"/>
    <w:rsid w:val="002763EB"/>
    <w:rsid w:val="00276F09"/>
    <w:rsid w:val="00277A9A"/>
    <w:rsid w:val="00277EB9"/>
    <w:rsid w:val="00277F1F"/>
    <w:rsid w:val="00280BFB"/>
    <w:rsid w:val="00282B9E"/>
    <w:rsid w:val="00283A53"/>
    <w:rsid w:val="002844A8"/>
    <w:rsid w:val="002845F2"/>
    <w:rsid w:val="00285162"/>
    <w:rsid w:val="00285566"/>
    <w:rsid w:val="00285BA5"/>
    <w:rsid w:val="0028654E"/>
    <w:rsid w:val="002867B8"/>
    <w:rsid w:val="0029012A"/>
    <w:rsid w:val="002927C7"/>
    <w:rsid w:val="002929AD"/>
    <w:rsid w:val="0029445A"/>
    <w:rsid w:val="00295712"/>
    <w:rsid w:val="002959F8"/>
    <w:rsid w:val="002964D6"/>
    <w:rsid w:val="00297E58"/>
    <w:rsid w:val="002A2104"/>
    <w:rsid w:val="002A541C"/>
    <w:rsid w:val="002A5507"/>
    <w:rsid w:val="002A5DB8"/>
    <w:rsid w:val="002A743D"/>
    <w:rsid w:val="002B0123"/>
    <w:rsid w:val="002B198C"/>
    <w:rsid w:val="002B1AEB"/>
    <w:rsid w:val="002B2CA4"/>
    <w:rsid w:val="002B2DC9"/>
    <w:rsid w:val="002B3AA4"/>
    <w:rsid w:val="002B4A08"/>
    <w:rsid w:val="002B754D"/>
    <w:rsid w:val="002B7841"/>
    <w:rsid w:val="002B7CB9"/>
    <w:rsid w:val="002C0A4F"/>
    <w:rsid w:val="002C1501"/>
    <w:rsid w:val="002C1847"/>
    <w:rsid w:val="002C1C72"/>
    <w:rsid w:val="002C2FF9"/>
    <w:rsid w:val="002C4FD4"/>
    <w:rsid w:val="002C587A"/>
    <w:rsid w:val="002C5D9B"/>
    <w:rsid w:val="002C6052"/>
    <w:rsid w:val="002C60C0"/>
    <w:rsid w:val="002C78C4"/>
    <w:rsid w:val="002D1E65"/>
    <w:rsid w:val="002D20BD"/>
    <w:rsid w:val="002D2BD1"/>
    <w:rsid w:val="002D31AE"/>
    <w:rsid w:val="002D34FA"/>
    <w:rsid w:val="002D509A"/>
    <w:rsid w:val="002D53E9"/>
    <w:rsid w:val="002D6467"/>
    <w:rsid w:val="002D67A5"/>
    <w:rsid w:val="002D6CF3"/>
    <w:rsid w:val="002E2E84"/>
    <w:rsid w:val="002E396C"/>
    <w:rsid w:val="002E409E"/>
    <w:rsid w:val="002E4C7D"/>
    <w:rsid w:val="002E7B53"/>
    <w:rsid w:val="002E7C6E"/>
    <w:rsid w:val="002F02B3"/>
    <w:rsid w:val="002F0443"/>
    <w:rsid w:val="002F1C7B"/>
    <w:rsid w:val="002F31FD"/>
    <w:rsid w:val="002F4B6F"/>
    <w:rsid w:val="002F4C7C"/>
    <w:rsid w:val="002F5B31"/>
    <w:rsid w:val="002F5FB1"/>
    <w:rsid w:val="002F6368"/>
    <w:rsid w:val="002F6D08"/>
    <w:rsid w:val="00300689"/>
    <w:rsid w:val="003015EC"/>
    <w:rsid w:val="00301EB8"/>
    <w:rsid w:val="0030364C"/>
    <w:rsid w:val="003039D8"/>
    <w:rsid w:val="003048CC"/>
    <w:rsid w:val="00305D1C"/>
    <w:rsid w:val="00305E1E"/>
    <w:rsid w:val="00310AD9"/>
    <w:rsid w:val="00310EDB"/>
    <w:rsid w:val="0031136F"/>
    <w:rsid w:val="0031505B"/>
    <w:rsid w:val="00316319"/>
    <w:rsid w:val="00317027"/>
    <w:rsid w:val="00317992"/>
    <w:rsid w:val="0032290C"/>
    <w:rsid w:val="00322E4F"/>
    <w:rsid w:val="00324F2B"/>
    <w:rsid w:val="003254EA"/>
    <w:rsid w:val="00327695"/>
    <w:rsid w:val="003278AC"/>
    <w:rsid w:val="003330C4"/>
    <w:rsid w:val="0033319B"/>
    <w:rsid w:val="003353B6"/>
    <w:rsid w:val="00336761"/>
    <w:rsid w:val="00336E22"/>
    <w:rsid w:val="0034014C"/>
    <w:rsid w:val="0034048B"/>
    <w:rsid w:val="0034310A"/>
    <w:rsid w:val="00343A01"/>
    <w:rsid w:val="00343FFD"/>
    <w:rsid w:val="00344684"/>
    <w:rsid w:val="00345A77"/>
    <w:rsid w:val="00345EF0"/>
    <w:rsid w:val="00347401"/>
    <w:rsid w:val="00350424"/>
    <w:rsid w:val="00350F35"/>
    <w:rsid w:val="00351864"/>
    <w:rsid w:val="00352E29"/>
    <w:rsid w:val="003551E2"/>
    <w:rsid w:val="0035651B"/>
    <w:rsid w:val="00361BA0"/>
    <w:rsid w:val="00362459"/>
    <w:rsid w:val="00362719"/>
    <w:rsid w:val="003629D3"/>
    <w:rsid w:val="003634A9"/>
    <w:rsid w:val="00363768"/>
    <w:rsid w:val="003643C9"/>
    <w:rsid w:val="0036551E"/>
    <w:rsid w:val="00365ED5"/>
    <w:rsid w:val="003660F4"/>
    <w:rsid w:val="003666FC"/>
    <w:rsid w:val="00367847"/>
    <w:rsid w:val="003679CD"/>
    <w:rsid w:val="0037133E"/>
    <w:rsid w:val="00371D46"/>
    <w:rsid w:val="00373DB3"/>
    <w:rsid w:val="0037440D"/>
    <w:rsid w:val="00374F56"/>
    <w:rsid w:val="0037767E"/>
    <w:rsid w:val="00377A46"/>
    <w:rsid w:val="00377B5E"/>
    <w:rsid w:val="00380BE7"/>
    <w:rsid w:val="00380EDF"/>
    <w:rsid w:val="003841C3"/>
    <w:rsid w:val="003848C2"/>
    <w:rsid w:val="00384B41"/>
    <w:rsid w:val="00385ABD"/>
    <w:rsid w:val="00385EE9"/>
    <w:rsid w:val="003862A8"/>
    <w:rsid w:val="00386CC3"/>
    <w:rsid w:val="003875C9"/>
    <w:rsid w:val="00387A10"/>
    <w:rsid w:val="00387BF8"/>
    <w:rsid w:val="00390086"/>
    <w:rsid w:val="00390D47"/>
    <w:rsid w:val="0039132D"/>
    <w:rsid w:val="00391B83"/>
    <w:rsid w:val="00392DEF"/>
    <w:rsid w:val="0039306E"/>
    <w:rsid w:val="003937EE"/>
    <w:rsid w:val="00395420"/>
    <w:rsid w:val="00396CEF"/>
    <w:rsid w:val="0039776E"/>
    <w:rsid w:val="003A1CFC"/>
    <w:rsid w:val="003A4C0C"/>
    <w:rsid w:val="003A59BC"/>
    <w:rsid w:val="003A5B5C"/>
    <w:rsid w:val="003A6BA6"/>
    <w:rsid w:val="003A714E"/>
    <w:rsid w:val="003B0ABE"/>
    <w:rsid w:val="003B2785"/>
    <w:rsid w:val="003B2C01"/>
    <w:rsid w:val="003B510A"/>
    <w:rsid w:val="003B5132"/>
    <w:rsid w:val="003B673A"/>
    <w:rsid w:val="003B6AC7"/>
    <w:rsid w:val="003C0336"/>
    <w:rsid w:val="003C0390"/>
    <w:rsid w:val="003C1656"/>
    <w:rsid w:val="003C2084"/>
    <w:rsid w:val="003C2278"/>
    <w:rsid w:val="003C2B95"/>
    <w:rsid w:val="003C2D61"/>
    <w:rsid w:val="003C363B"/>
    <w:rsid w:val="003C6410"/>
    <w:rsid w:val="003C6975"/>
    <w:rsid w:val="003C6AD3"/>
    <w:rsid w:val="003C6D22"/>
    <w:rsid w:val="003D03F3"/>
    <w:rsid w:val="003D0CFC"/>
    <w:rsid w:val="003D2BDC"/>
    <w:rsid w:val="003D319F"/>
    <w:rsid w:val="003D38AD"/>
    <w:rsid w:val="003D3FD9"/>
    <w:rsid w:val="003D436C"/>
    <w:rsid w:val="003D4B5F"/>
    <w:rsid w:val="003D5838"/>
    <w:rsid w:val="003D5DD6"/>
    <w:rsid w:val="003D7DEA"/>
    <w:rsid w:val="003D7E5E"/>
    <w:rsid w:val="003E054F"/>
    <w:rsid w:val="003E0BA5"/>
    <w:rsid w:val="003E0CA7"/>
    <w:rsid w:val="003E2903"/>
    <w:rsid w:val="003E2ED0"/>
    <w:rsid w:val="003E48E1"/>
    <w:rsid w:val="003E5E0F"/>
    <w:rsid w:val="003E5EA4"/>
    <w:rsid w:val="003E65E8"/>
    <w:rsid w:val="003E6E04"/>
    <w:rsid w:val="003E7D57"/>
    <w:rsid w:val="003E7DC7"/>
    <w:rsid w:val="003F0E1B"/>
    <w:rsid w:val="003F16D9"/>
    <w:rsid w:val="003F21BB"/>
    <w:rsid w:val="003F33AB"/>
    <w:rsid w:val="003F674C"/>
    <w:rsid w:val="00401CB4"/>
    <w:rsid w:val="00402BD8"/>
    <w:rsid w:val="00403A8F"/>
    <w:rsid w:val="00404297"/>
    <w:rsid w:val="004073F8"/>
    <w:rsid w:val="00410C44"/>
    <w:rsid w:val="00410D14"/>
    <w:rsid w:val="004110BA"/>
    <w:rsid w:val="00411243"/>
    <w:rsid w:val="004143B7"/>
    <w:rsid w:val="004146C9"/>
    <w:rsid w:val="00414DF4"/>
    <w:rsid w:val="004160DA"/>
    <w:rsid w:val="00422320"/>
    <w:rsid w:val="00422702"/>
    <w:rsid w:val="00422958"/>
    <w:rsid w:val="00424B0F"/>
    <w:rsid w:val="00424BC6"/>
    <w:rsid w:val="0042527C"/>
    <w:rsid w:val="0042572B"/>
    <w:rsid w:val="00426298"/>
    <w:rsid w:val="00426D4B"/>
    <w:rsid w:val="00427529"/>
    <w:rsid w:val="004319E0"/>
    <w:rsid w:val="0043276E"/>
    <w:rsid w:val="00432E88"/>
    <w:rsid w:val="00433CA4"/>
    <w:rsid w:val="00435878"/>
    <w:rsid w:val="00435F8B"/>
    <w:rsid w:val="00437580"/>
    <w:rsid w:val="0043796E"/>
    <w:rsid w:val="004415B1"/>
    <w:rsid w:val="00443B4D"/>
    <w:rsid w:val="00443D98"/>
    <w:rsid w:val="00443E71"/>
    <w:rsid w:val="004526AD"/>
    <w:rsid w:val="00452A72"/>
    <w:rsid w:val="00453E97"/>
    <w:rsid w:val="004579BB"/>
    <w:rsid w:val="00460A37"/>
    <w:rsid w:val="00461406"/>
    <w:rsid w:val="00461555"/>
    <w:rsid w:val="0046194A"/>
    <w:rsid w:val="00461B1F"/>
    <w:rsid w:val="004620A9"/>
    <w:rsid w:val="004621F6"/>
    <w:rsid w:val="00463066"/>
    <w:rsid w:val="004634BC"/>
    <w:rsid w:val="0046369F"/>
    <w:rsid w:val="00463EAF"/>
    <w:rsid w:val="004649E7"/>
    <w:rsid w:val="00464F6D"/>
    <w:rsid w:val="0046590F"/>
    <w:rsid w:val="004676CE"/>
    <w:rsid w:val="0047013B"/>
    <w:rsid w:val="00470B78"/>
    <w:rsid w:val="00471B3F"/>
    <w:rsid w:val="004727A0"/>
    <w:rsid w:val="0047283B"/>
    <w:rsid w:val="00472FAF"/>
    <w:rsid w:val="0047345D"/>
    <w:rsid w:val="00473D70"/>
    <w:rsid w:val="00474C89"/>
    <w:rsid w:val="00475703"/>
    <w:rsid w:val="004759FD"/>
    <w:rsid w:val="004767BA"/>
    <w:rsid w:val="00477748"/>
    <w:rsid w:val="00477906"/>
    <w:rsid w:val="004825D2"/>
    <w:rsid w:val="00483AC0"/>
    <w:rsid w:val="00484BF8"/>
    <w:rsid w:val="00484EEB"/>
    <w:rsid w:val="0048623C"/>
    <w:rsid w:val="004871A2"/>
    <w:rsid w:val="00487EC8"/>
    <w:rsid w:val="00490197"/>
    <w:rsid w:val="00492AF5"/>
    <w:rsid w:val="0049317E"/>
    <w:rsid w:val="00493FCC"/>
    <w:rsid w:val="00494C0F"/>
    <w:rsid w:val="004A1B40"/>
    <w:rsid w:val="004A4F0B"/>
    <w:rsid w:val="004A53F7"/>
    <w:rsid w:val="004A586E"/>
    <w:rsid w:val="004A7576"/>
    <w:rsid w:val="004A7923"/>
    <w:rsid w:val="004A79D4"/>
    <w:rsid w:val="004B0460"/>
    <w:rsid w:val="004B07D9"/>
    <w:rsid w:val="004B14B9"/>
    <w:rsid w:val="004B1ABD"/>
    <w:rsid w:val="004B2362"/>
    <w:rsid w:val="004B526A"/>
    <w:rsid w:val="004B6620"/>
    <w:rsid w:val="004B6B76"/>
    <w:rsid w:val="004B6C15"/>
    <w:rsid w:val="004C1279"/>
    <w:rsid w:val="004C2A97"/>
    <w:rsid w:val="004C302E"/>
    <w:rsid w:val="004C5AD1"/>
    <w:rsid w:val="004C7ADB"/>
    <w:rsid w:val="004D00A3"/>
    <w:rsid w:val="004D39AC"/>
    <w:rsid w:val="004D44DA"/>
    <w:rsid w:val="004D6CA6"/>
    <w:rsid w:val="004E0D2B"/>
    <w:rsid w:val="004E42D9"/>
    <w:rsid w:val="004E54E1"/>
    <w:rsid w:val="004E6270"/>
    <w:rsid w:val="004E6E92"/>
    <w:rsid w:val="004E7D46"/>
    <w:rsid w:val="004F1061"/>
    <w:rsid w:val="004F1498"/>
    <w:rsid w:val="004F238B"/>
    <w:rsid w:val="004F2BB2"/>
    <w:rsid w:val="004F34D5"/>
    <w:rsid w:val="004F486D"/>
    <w:rsid w:val="004F606A"/>
    <w:rsid w:val="004F74D7"/>
    <w:rsid w:val="00502434"/>
    <w:rsid w:val="00504DAA"/>
    <w:rsid w:val="0050528F"/>
    <w:rsid w:val="00507F2C"/>
    <w:rsid w:val="00510EF2"/>
    <w:rsid w:val="00511B47"/>
    <w:rsid w:val="00513F60"/>
    <w:rsid w:val="00515D2C"/>
    <w:rsid w:val="00517772"/>
    <w:rsid w:val="00520ECE"/>
    <w:rsid w:val="0052271C"/>
    <w:rsid w:val="00524C00"/>
    <w:rsid w:val="0052669E"/>
    <w:rsid w:val="00526F9B"/>
    <w:rsid w:val="00527063"/>
    <w:rsid w:val="00527F60"/>
    <w:rsid w:val="00527F70"/>
    <w:rsid w:val="00530523"/>
    <w:rsid w:val="00530BDB"/>
    <w:rsid w:val="00531C6B"/>
    <w:rsid w:val="00532316"/>
    <w:rsid w:val="00532489"/>
    <w:rsid w:val="00533183"/>
    <w:rsid w:val="0053385B"/>
    <w:rsid w:val="00535F49"/>
    <w:rsid w:val="00536C7D"/>
    <w:rsid w:val="00536CDF"/>
    <w:rsid w:val="00537293"/>
    <w:rsid w:val="005405D1"/>
    <w:rsid w:val="0054072A"/>
    <w:rsid w:val="00541F25"/>
    <w:rsid w:val="00542B65"/>
    <w:rsid w:val="00542BF2"/>
    <w:rsid w:val="00542F3A"/>
    <w:rsid w:val="00543A7A"/>
    <w:rsid w:val="00543D4F"/>
    <w:rsid w:val="00544FA7"/>
    <w:rsid w:val="00546D83"/>
    <w:rsid w:val="00547197"/>
    <w:rsid w:val="0055161E"/>
    <w:rsid w:val="00552E5D"/>
    <w:rsid w:val="00552FA6"/>
    <w:rsid w:val="00555475"/>
    <w:rsid w:val="00557CED"/>
    <w:rsid w:val="00560EA6"/>
    <w:rsid w:val="00561905"/>
    <w:rsid w:val="00561D5A"/>
    <w:rsid w:val="00562601"/>
    <w:rsid w:val="0056273B"/>
    <w:rsid w:val="005641C1"/>
    <w:rsid w:val="00565507"/>
    <w:rsid w:val="005666AF"/>
    <w:rsid w:val="00567C0E"/>
    <w:rsid w:val="005704D2"/>
    <w:rsid w:val="00571FEF"/>
    <w:rsid w:val="005731ED"/>
    <w:rsid w:val="005738D0"/>
    <w:rsid w:val="00574B72"/>
    <w:rsid w:val="00575308"/>
    <w:rsid w:val="00575C1C"/>
    <w:rsid w:val="00575CEA"/>
    <w:rsid w:val="0057783B"/>
    <w:rsid w:val="00581A72"/>
    <w:rsid w:val="00582345"/>
    <w:rsid w:val="00582C41"/>
    <w:rsid w:val="00582F93"/>
    <w:rsid w:val="0058724A"/>
    <w:rsid w:val="0058730B"/>
    <w:rsid w:val="00587ED8"/>
    <w:rsid w:val="00590B5E"/>
    <w:rsid w:val="0059219C"/>
    <w:rsid w:val="00593455"/>
    <w:rsid w:val="00597EFD"/>
    <w:rsid w:val="005A1534"/>
    <w:rsid w:val="005A3159"/>
    <w:rsid w:val="005A587E"/>
    <w:rsid w:val="005A6ECC"/>
    <w:rsid w:val="005A704F"/>
    <w:rsid w:val="005A76AA"/>
    <w:rsid w:val="005A78F4"/>
    <w:rsid w:val="005B1518"/>
    <w:rsid w:val="005B18E1"/>
    <w:rsid w:val="005B349B"/>
    <w:rsid w:val="005B3BE3"/>
    <w:rsid w:val="005B4C28"/>
    <w:rsid w:val="005B4D9D"/>
    <w:rsid w:val="005C0506"/>
    <w:rsid w:val="005C2054"/>
    <w:rsid w:val="005C2CCE"/>
    <w:rsid w:val="005C3910"/>
    <w:rsid w:val="005C5B50"/>
    <w:rsid w:val="005C5B68"/>
    <w:rsid w:val="005C77F7"/>
    <w:rsid w:val="005D02E8"/>
    <w:rsid w:val="005D1CCC"/>
    <w:rsid w:val="005D3897"/>
    <w:rsid w:val="005D3B08"/>
    <w:rsid w:val="005D53C2"/>
    <w:rsid w:val="005D5A87"/>
    <w:rsid w:val="005D6605"/>
    <w:rsid w:val="005D666A"/>
    <w:rsid w:val="005D75CA"/>
    <w:rsid w:val="005D7877"/>
    <w:rsid w:val="005D7BD4"/>
    <w:rsid w:val="005E23DA"/>
    <w:rsid w:val="005E2F43"/>
    <w:rsid w:val="005E331C"/>
    <w:rsid w:val="005E3608"/>
    <w:rsid w:val="005F04C5"/>
    <w:rsid w:val="005F2ACE"/>
    <w:rsid w:val="005F3A67"/>
    <w:rsid w:val="005F55E7"/>
    <w:rsid w:val="005F5D1D"/>
    <w:rsid w:val="005F6FF6"/>
    <w:rsid w:val="00600093"/>
    <w:rsid w:val="006024B5"/>
    <w:rsid w:val="006026D3"/>
    <w:rsid w:val="00602C0C"/>
    <w:rsid w:val="00603575"/>
    <w:rsid w:val="00604053"/>
    <w:rsid w:val="00606381"/>
    <w:rsid w:val="006066F3"/>
    <w:rsid w:val="0060773C"/>
    <w:rsid w:val="00610185"/>
    <w:rsid w:val="006120FE"/>
    <w:rsid w:val="00612CC7"/>
    <w:rsid w:val="00612EF3"/>
    <w:rsid w:val="00613075"/>
    <w:rsid w:val="00613D77"/>
    <w:rsid w:val="00613F07"/>
    <w:rsid w:val="00614C70"/>
    <w:rsid w:val="00616260"/>
    <w:rsid w:val="00616347"/>
    <w:rsid w:val="00616BBE"/>
    <w:rsid w:val="006202DD"/>
    <w:rsid w:val="006208F9"/>
    <w:rsid w:val="00621091"/>
    <w:rsid w:val="0062146E"/>
    <w:rsid w:val="00622DFC"/>
    <w:rsid w:val="0062348F"/>
    <w:rsid w:val="00623637"/>
    <w:rsid w:val="00624260"/>
    <w:rsid w:val="0062439E"/>
    <w:rsid w:val="00624847"/>
    <w:rsid w:val="0062497C"/>
    <w:rsid w:val="00625BA4"/>
    <w:rsid w:val="00627598"/>
    <w:rsid w:val="00627D2D"/>
    <w:rsid w:val="0063120B"/>
    <w:rsid w:val="00631680"/>
    <w:rsid w:val="006326B1"/>
    <w:rsid w:val="006334E1"/>
    <w:rsid w:val="0063596C"/>
    <w:rsid w:val="00636F59"/>
    <w:rsid w:val="00640FC1"/>
    <w:rsid w:val="0064256A"/>
    <w:rsid w:val="006425D2"/>
    <w:rsid w:val="00642F9F"/>
    <w:rsid w:val="006433B3"/>
    <w:rsid w:val="006440CF"/>
    <w:rsid w:val="00645DB2"/>
    <w:rsid w:val="00646C4F"/>
    <w:rsid w:val="00646D16"/>
    <w:rsid w:val="00651960"/>
    <w:rsid w:val="00652563"/>
    <w:rsid w:val="00653626"/>
    <w:rsid w:val="006550A0"/>
    <w:rsid w:val="00655908"/>
    <w:rsid w:val="00655EF0"/>
    <w:rsid w:val="00657CE2"/>
    <w:rsid w:val="00660AA9"/>
    <w:rsid w:val="00660D43"/>
    <w:rsid w:val="00662FFF"/>
    <w:rsid w:val="00663091"/>
    <w:rsid w:val="0066401F"/>
    <w:rsid w:val="0066555D"/>
    <w:rsid w:val="00665579"/>
    <w:rsid w:val="00665DE8"/>
    <w:rsid w:val="00666217"/>
    <w:rsid w:val="006663F7"/>
    <w:rsid w:val="00670087"/>
    <w:rsid w:val="00670244"/>
    <w:rsid w:val="00670932"/>
    <w:rsid w:val="00671182"/>
    <w:rsid w:val="00671EE7"/>
    <w:rsid w:val="00672ABC"/>
    <w:rsid w:val="00674F90"/>
    <w:rsid w:val="00675AFB"/>
    <w:rsid w:val="00675BAC"/>
    <w:rsid w:val="00676773"/>
    <w:rsid w:val="00676D12"/>
    <w:rsid w:val="0068006F"/>
    <w:rsid w:val="0068111F"/>
    <w:rsid w:val="00682679"/>
    <w:rsid w:val="0068372C"/>
    <w:rsid w:val="00683B64"/>
    <w:rsid w:val="00693615"/>
    <w:rsid w:val="006938CA"/>
    <w:rsid w:val="00694278"/>
    <w:rsid w:val="006947A2"/>
    <w:rsid w:val="006957DC"/>
    <w:rsid w:val="006964F4"/>
    <w:rsid w:val="0069771F"/>
    <w:rsid w:val="006A01A2"/>
    <w:rsid w:val="006A01B7"/>
    <w:rsid w:val="006A18D0"/>
    <w:rsid w:val="006A6241"/>
    <w:rsid w:val="006A66D8"/>
    <w:rsid w:val="006A70BC"/>
    <w:rsid w:val="006A71C0"/>
    <w:rsid w:val="006A7211"/>
    <w:rsid w:val="006B0CAB"/>
    <w:rsid w:val="006B1665"/>
    <w:rsid w:val="006B1DE2"/>
    <w:rsid w:val="006B214E"/>
    <w:rsid w:val="006B2456"/>
    <w:rsid w:val="006B35A0"/>
    <w:rsid w:val="006B5FF9"/>
    <w:rsid w:val="006B7B8D"/>
    <w:rsid w:val="006C2A23"/>
    <w:rsid w:val="006C317A"/>
    <w:rsid w:val="006C3710"/>
    <w:rsid w:val="006C4299"/>
    <w:rsid w:val="006C43C2"/>
    <w:rsid w:val="006C4EA8"/>
    <w:rsid w:val="006C525D"/>
    <w:rsid w:val="006C5447"/>
    <w:rsid w:val="006C7663"/>
    <w:rsid w:val="006C7DCD"/>
    <w:rsid w:val="006D0605"/>
    <w:rsid w:val="006D14F5"/>
    <w:rsid w:val="006D31F2"/>
    <w:rsid w:val="006D6B6F"/>
    <w:rsid w:val="006E0077"/>
    <w:rsid w:val="006E18E5"/>
    <w:rsid w:val="006E3282"/>
    <w:rsid w:val="006E34F8"/>
    <w:rsid w:val="006E4E56"/>
    <w:rsid w:val="006E5306"/>
    <w:rsid w:val="006E58FE"/>
    <w:rsid w:val="006E668B"/>
    <w:rsid w:val="006E6BD9"/>
    <w:rsid w:val="006F06B7"/>
    <w:rsid w:val="006F1A89"/>
    <w:rsid w:val="006F2224"/>
    <w:rsid w:val="006F31A9"/>
    <w:rsid w:val="006F325C"/>
    <w:rsid w:val="006F500E"/>
    <w:rsid w:val="006F55B1"/>
    <w:rsid w:val="006F5A99"/>
    <w:rsid w:val="006F75E2"/>
    <w:rsid w:val="00701BFE"/>
    <w:rsid w:val="00701E25"/>
    <w:rsid w:val="007021D2"/>
    <w:rsid w:val="00702333"/>
    <w:rsid w:val="007031C0"/>
    <w:rsid w:val="0070558B"/>
    <w:rsid w:val="0070695A"/>
    <w:rsid w:val="00706BBD"/>
    <w:rsid w:val="00706DA2"/>
    <w:rsid w:val="007071C3"/>
    <w:rsid w:val="0070789D"/>
    <w:rsid w:val="00707DFB"/>
    <w:rsid w:val="00710F8F"/>
    <w:rsid w:val="007110B4"/>
    <w:rsid w:val="00711D3F"/>
    <w:rsid w:val="007127E2"/>
    <w:rsid w:val="00712CBB"/>
    <w:rsid w:val="00713604"/>
    <w:rsid w:val="007141B7"/>
    <w:rsid w:val="00717F20"/>
    <w:rsid w:val="00720F0B"/>
    <w:rsid w:val="0072118C"/>
    <w:rsid w:val="00724192"/>
    <w:rsid w:val="00724A36"/>
    <w:rsid w:val="00725051"/>
    <w:rsid w:val="0072558B"/>
    <w:rsid w:val="0072593B"/>
    <w:rsid w:val="00726810"/>
    <w:rsid w:val="00727118"/>
    <w:rsid w:val="0072711C"/>
    <w:rsid w:val="00730E4C"/>
    <w:rsid w:val="00731BD5"/>
    <w:rsid w:val="0073208B"/>
    <w:rsid w:val="00734046"/>
    <w:rsid w:val="007353E7"/>
    <w:rsid w:val="007357B3"/>
    <w:rsid w:val="0073606D"/>
    <w:rsid w:val="00736909"/>
    <w:rsid w:val="007374C2"/>
    <w:rsid w:val="0074075F"/>
    <w:rsid w:val="00741F96"/>
    <w:rsid w:val="007440AB"/>
    <w:rsid w:val="007444E8"/>
    <w:rsid w:val="00746623"/>
    <w:rsid w:val="00746E54"/>
    <w:rsid w:val="00750C9C"/>
    <w:rsid w:val="00750E3D"/>
    <w:rsid w:val="00751646"/>
    <w:rsid w:val="00751A0A"/>
    <w:rsid w:val="0075259E"/>
    <w:rsid w:val="00753B9A"/>
    <w:rsid w:val="00754CE0"/>
    <w:rsid w:val="00755976"/>
    <w:rsid w:val="00756142"/>
    <w:rsid w:val="00756747"/>
    <w:rsid w:val="007569C9"/>
    <w:rsid w:val="00760AB6"/>
    <w:rsid w:val="00760CB2"/>
    <w:rsid w:val="00762C27"/>
    <w:rsid w:val="007632E8"/>
    <w:rsid w:val="00764310"/>
    <w:rsid w:val="007647FC"/>
    <w:rsid w:val="00767AC5"/>
    <w:rsid w:val="00770086"/>
    <w:rsid w:val="00770EDF"/>
    <w:rsid w:val="007711AE"/>
    <w:rsid w:val="00771A72"/>
    <w:rsid w:val="00772039"/>
    <w:rsid w:val="00773833"/>
    <w:rsid w:val="0077388E"/>
    <w:rsid w:val="00773D63"/>
    <w:rsid w:val="00773E0C"/>
    <w:rsid w:val="00774B0B"/>
    <w:rsid w:val="00774F8E"/>
    <w:rsid w:val="007764DB"/>
    <w:rsid w:val="00776B07"/>
    <w:rsid w:val="00777B03"/>
    <w:rsid w:val="0078563F"/>
    <w:rsid w:val="00786F11"/>
    <w:rsid w:val="007876D0"/>
    <w:rsid w:val="007907D8"/>
    <w:rsid w:val="00791E30"/>
    <w:rsid w:val="0079218C"/>
    <w:rsid w:val="0079248C"/>
    <w:rsid w:val="007939B6"/>
    <w:rsid w:val="00793F80"/>
    <w:rsid w:val="00795D41"/>
    <w:rsid w:val="00797719"/>
    <w:rsid w:val="00797A27"/>
    <w:rsid w:val="007A0507"/>
    <w:rsid w:val="007A0558"/>
    <w:rsid w:val="007A0A92"/>
    <w:rsid w:val="007A2371"/>
    <w:rsid w:val="007A2889"/>
    <w:rsid w:val="007A4381"/>
    <w:rsid w:val="007A4538"/>
    <w:rsid w:val="007A45F6"/>
    <w:rsid w:val="007A4B3C"/>
    <w:rsid w:val="007A52E9"/>
    <w:rsid w:val="007A5442"/>
    <w:rsid w:val="007A54E3"/>
    <w:rsid w:val="007A7360"/>
    <w:rsid w:val="007B18E5"/>
    <w:rsid w:val="007B2265"/>
    <w:rsid w:val="007B22BD"/>
    <w:rsid w:val="007B36E6"/>
    <w:rsid w:val="007B388F"/>
    <w:rsid w:val="007B4831"/>
    <w:rsid w:val="007B4CF3"/>
    <w:rsid w:val="007B53BB"/>
    <w:rsid w:val="007B65A2"/>
    <w:rsid w:val="007B6C52"/>
    <w:rsid w:val="007B7E78"/>
    <w:rsid w:val="007C054A"/>
    <w:rsid w:val="007C0B75"/>
    <w:rsid w:val="007C1F59"/>
    <w:rsid w:val="007C25B6"/>
    <w:rsid w:val="007C5185"/>
    <w:rsid w:val="007D010F"/>
    <w:rsid w:val="007D13DA"/>
    <w:rsid w:val="007D15B3"/>
    <w:rsid w:val="007D2229"/>
    <w:rsid w:val="007D2A0C"/>
    <w:rsid w:val="007D2E85"/>
    <w:rsid w:val="007D3FFE"/>
    <w:rsid w:val="007D4EE7"/>
    <w:rsid w:val="007D52CF"/>
    <w:rsid w:val="007D53C4"/>
    <w:rsid w:val="007E15F2"/>
    <w:rsid w:val="007E3FF7"/>
    <w:rsid w:val="007E69DF"/>
    <w:rsid w:val="007F19A8"/>
    <w:rsid w:val="007F2222"/>
    <w:rsid w:val="007F2EF2"/>
    <w:rsid w:val="007F5C94"/>
    <w:rsid w:val="007F6ED0"/>
    <w:rsid w:val="008020B0"/>
    <w:rsid w:val="00803197"/>
    <w:rsid w:val="008033F2"/>
    <w:rsid w:val="00805377"/>
    <w:rsid w:val="00806989"/>
    <w:rsid w:val="00807C18"/>
    <w:rsid w:val="00810009"/>
    <w:rsid w:val="008113BF"/>
    <w:rsid w:val="008120A9"/>
    <w:rsid w:val="00812436"/>
    <w:rsid w:val="00812FAC"/>
    <w:rsid w:val="00813028"/>
    <w:rsid w:val="0081323B"/>
    <w:rsid w:val="008133CE"/>
    <w:rsid w:val="00813442"/>
    <w:rsid w:val="008153F7"/>
    <w:rsid w:val="00815E64"/>
    <w:rsid w:val="00817132"/>
    <w:rsid w:val="00817E13"/>
    <w:rsid w:val="00820207"/>
    <w:rsid w:val="00820577"/>
    <w:rsid w:val="008207E1"/>
    <w:rsid w:val="008228FF"/>
    <w:rsid w:val="008239ED"/>
    <w:rsid w:val="00826C54"/>
    <w:rsid w:val="008275D6"/>
    <w:rsid w:val="00827657"/>
    <w:rsid w:val="0083054A"/>
    <w:rsid w:val="008305D4"/>
    <w:rsid w:val="008317AD"/>
    <w:rsid w:val="008339B5"/>
    <w:rsid w:val="008459E9"/>
    <w:rsid w:val="008461CC"/>
    <w:rsid w:val="00846BDE"/>
    <w:rsid w:val="00847248"/>
    <w:rsid w:val="00847671"/>
    <w:rsid w:val="00851112"/>
    <w:rsid w:val="00851148"/>
    <w:rsid w:val="00851581"/>
    <w:rsid w:val="00851C26"/>
    <w:rsid w:val="00852830"/>
    <w:rsid w:val="0085359F"/>
    <w:rsid w:val="00854DCC"/>
    <w:rsid w:val="0085623F"/>
    <w:rsid w:val="00856E0E"/>
    <w:rsid w:val="008573AB"/>
    <w:rsid w:val="00857AA0"/>
    <w:rsid w:val="0086011F"/>
    <w:rsid w:val="0086044A"/>
    <w:rsid w:val="00860557"/>
    <w:rsid w:val="00861A1D"/>
    <w:rsid w:val="00862FBD"/>
    <w:rsid w:val="0086318E"/>
    <w:rsid w:val="008632CE"/>
    <w:rsid w:val="00864BEB"/>
    <w:rsid w:val="0086753E"/>
    <w:rsid w:val="008700AA"/>
    <w:rsid w:val="00872AD9"/>
    <w:rsid w:val="00873E69"/>
    <w:rsid w:val="00874114"/>
    <w:rsid w:val="00877AB2"/>
    <w:rsid w:val="00880218"/>
    <w:rsid w:val="008808A5"/>
    <w:rsid w:val="0088198F"/>
    <w:rsid w:val="00883295"/>
    <w:rsid w:val="00883EA8"/>
    <w:rsid w:val="0088447A"/>
    <w:rsid w:val="00885183"/>
    <w:rsid w:val="00885F23"/>
    <w:rsid w:val="008877ED"/>
    <w:rsid w:val="00887D9E"/>
    <w:rsid w:val="008900E3"/>
    <w:rsid w:val="00891514"/>
    <w:rsid w:val="00893105"/>
    <w:rsid w:val="008A0C66"/>
    <w:rsid w:val="008A1427"/>
    <w:rsid w:val="008A3DA1"/>
    <w:rsid w:val="008A4630"/>
    <w:rsid w:val="008A5D35"/>
    <w:rsid w:val="008A72E8"/>
    <w:rsid w:val="008A7E52"/>
    <w:rsid w:val="008B164B"/>
    <w:rsid w:val="008B2525"/>
    <w:rsid w:val="008B40D5"/>
    <w:rsid w:val="008B4266"/>
    <w:rsid w:val="008B51D8"/>
    <w:rsid w:val="008B753A"/>
    <w:rsid w:val="008C064D"/>
    <w:rsid w:val="008C193A"/>
    <w:rsid w:val="008C19CA"/>
    <w:rsid w:val="008C20E5"/>
    <w:rsid w:val="008C22A6"/>
    <w:rsid w:val="008C22C2"/>
    <w:rsid w:val="008C39AE"/>
    <w:rsid w:val="008C47AA"/>
    <w:rsid w:val="008C4EE2"/>
    <w:rsid w:val="008C613D"/>
    <w:rsid w:val="008C7463"/>
    <w:rsid w:val="008C756B"/>
    <w:rsid w:val="008C7A72"/>
    <w:rsid w:val="008C7AEB"/>
    <w:rsid w:val="008C7BA0"/>
    <w:rsid w:val="008D15A7"/>
    <w:rsid w:val="008D4596"/>
    <w:rsid w:val="008D45CC"/>
    <w:rsid w:val="008D4B49"/>
    <w:rsid w:val="008D540C"/>
    <w:rsid w:val="008D6187"/>
    <w:rsid w:val="008D65C0"/>
    <w:rsid w:val="008D7336"/>
    <w:rsid w:val="008D78CE"/>
    <w:rsid w:val="008D793D"/>
    <w:rsid w:val="008E0EB9"/>
    <w:rsid w:val="008E133E"/>
    <w:rsid w:val="008E6905"/>
    <w:rsid w:val="008F0774"/>
    <w:rsid w:val="008F18DB"/>
    <w:rsid w:val="008F1AA3"/>
    <w:rsid w:val="008F3DA2"/>
    <w:rsid w:val="008F40D6"/>
    <w:rsid w:val="008F4B19"/>
    <w:rsid w:val="008F50E8"/>
    <w:rsid w:val="008F5302"/>
    <w:rsid w:val="008F752F"/>
    <w:rsid w:val="009007A0"/>
    <w:rsid w:val="00907D9D"/>
    <w:rsid w:val="00911840"/>
    <w:rsid w:val="00911E50"/>
    <w:rsid w:val="00914D5E"/>
    <w:rsid w:val="00915BC0"/>
    <w:rsid w:val="009161BC"/>
    <w:rsid w:val="009168B6"/>
    <w:rsid w:val="00916A36"/>
    <w:rsid w:val="00916D28"/>
    <w:rsid w:val="00916FB6"/>
    <w:rsid w:val="00917772"/>
    <w:rsid w:val="00917AC0"/>
    <w:rsid w:val="00920A86"/>
    <w:rsid w:val="00923CC2"/>
    <w:rsid w:val="009248D5"/>
    <w:rsid w:val="0092498C"/>
    <w:rsid w:val="009251E4"/>
    <w:rsid w:val="00925ED6"/>
    <w:rsid w:val="0092756A"/>
    <w:rsid w:val="00927AF2"/>
    <w:rsid w:val="00927EC4"/>
    <w:rsid w:val="009314B7"/>
    <w:rsid w:val="009315B7"/>
    <w:rsid w:val="00931B64"/>
    <w:rsid w:val="00931CC3"/>
    <w:rsid w:val="009344C0"/>
    <w:rsid w:val="009344ED"/>
    <w:rsid w:val="00934A32"/>
    <w:rsid w:val="009353AB"/>
    <w:rsid w:val="00935CC8"/>
    <w:rsid w:val="00935D2F"/>
    <w:rsid w:val="00936244"/>
    <w:rsid w:val="00940889"/>
    <w:rsid w:val="00940DE1"/>
    <w:rsid w:val="00941DFD"/>
    <w:rsid w:val="009427EA"/>
    <w:rsid w:val="009447FF"/>
    <w:rsid w:val="00944A50"/>
    <w:rsid w:val="00945196"/>
    <w:rsid w:val="00945665"/>
    <w:rsid w:val="00945B00"/>
    <w:rsid w:val="00946377"/>
    <w:rsid w:val="00950368"/>
    <w:rsid w:val="00950480"/>
    <w:rsid w:val="009506A8"/>
    <w:rsid w:val="009508F0"/>
    <w:rsid w:val="009509D0"/>
    <w:rsid w:val="00951199"/>
    <w:rsid w:val="00954D7D"/>
    <w:rsid w:val="00956C32"/>
    <w:rsid w:val="00957626"/>
    <w:rsid w:val="00957BBA"/>
    <w:rsid w:val="009605EE"/>
    <w:rsid w:val="00960F64"/>
    <w:rsid w:val="00962384"/>
    <w:rsid w:val="00962492"/>
    <w:rsid w:val="00963226"/>
    <w:rsid w:val="009633C0"/>
    <w:rsid w:val="009638ED"/>
    <w:rsid w:val="00963B38"/>
    <w:rsid w:val="00963D23"/>
    <w:rsid w:val="00963ED4"/>
    <w:rsid w:val="00964ED7"/>
    <w:rsid w:val="0096655F"/>
    <w:rsid w:val="00966F76"/>
    <w:rsid w:val="009707E1"/>
    <w:rsid w:val="009710FD"/>
    <w:rsid w:val="009731B5"/>
    <w:rsid w:val="009738A5"/>
    <w:rsid w:val="00973BF5"/>
    <w:rsid w:val="009742DA"/>
    <w:rsid w:val="00974B9B"/>
    <w:rsid w:val="00974F54"/>
    <w:rsid w:val="00975C3B"/>
    <w:rsid w:val="0097682C"/>
    <w:rsid w:val="009768C8"/>
    <w:rsid w:val="0097737A"/>
    <w:rsid w:val="00982D29"/>
    <w:rsid w:val="0098302D"/>
    <w:rsid w:val="0098444C"/>
    <w:rsid w:val="0098510C"/>
    <w:rsid w:val="009854E1"/>
    <w:rsid w:val="00986A27"/>
    <w:rsid w:val="00986B76"/>
    <w:rsid w:val="00991377"/>
    <w:rsid w:val="0099169E"/>
    <w:rsid w:val="00991C73"/>
    <w:rsid w:val="00991CF5"/>
    <w:rsid w:val="0099322F"/>
    <w:rsid w:val="00996422"/>
    <w:rsid w:val="0099669C"/>
    <w:rsid w:val="009969BF"/>
    <w:rsid w:val="0099706E"/>
    <w:rsid w:val="009A0280"/>
    <w:rsid w:val="009A1C87"/>
    <w:rsid w:val="009A4EBD"/>
    <w:rsid w:val="009A50A2"/>
    <w:rsid w:val="009A51FA"/>
    <w:rsid w:val="009A52C2"/>
    <w:rsid w:val="009A5782"/>
    <w:rsid w:val="009A60EE"/>
    <w:rsid w:val="009A647C"/>
    <w:rsid w:val="009A667F"/>
    <w:rsid w:val="009A6807"/>
    <w:rsid w:val="009A6A66"/>
    <w:rsid w:val="009A751D"/>
    <w:rsid w:val="009B23BC"/>
    <w:rsid w:val="009B2D98"/>
    <w:rsid w:val="009B2EA9"/>
    <w:rsid w:val="009B370B"/>
    <w:rsid w:val="009B45BF"/>
    <w:rsid w:val="009B491F"/>
    <w:rsid w:val="009B49F2"/>
    <w:rsid w:val="009C2A51"/>
    <w:rsid w:val="009C35C7"/>
    <w:rsid w:val="009C3BE7"/>
    <w:rsid w:val="009C3E60"/>
    <w:rsid w:val="009C3F2A"/>
    <w:rsid w:val="009C4669"/>
    <w:rsid w:val="009C525C"/>
    <w:rsid w:val="009C56FF"/>
    <w:rsid w:val="009C725A"/>
    <w:rsid w:val="009D054E"/>
    <w:rsid w:val="009D1A84"/>
    <w:rsid w:val="009D346B"/>
    <w:rsid w:val="009D39C2"/>
    <w:rsid w:val="009D5FB2"/>
    <w:rsid w:val="009D699E"/>
    <w:rsid w:val="009E131A"/>
    <w:rsid w:val="009E27BA"/>
    <w:rsid w:val="009E4CFF"/>
    <w:rsid w:val="009E5A35"/>
    <w:rsid w:val="009E5BAD"/>
    <w:rsid w:val="009E5EAA"/>
    <w:rsid w:val="009E621A"/>
    <w:rsid w:val="009E6FD8"/>
    <w:rsid w:val="009F093A"/>
    <w:rsid w:val="009F36FB"/>
    <w:rsid w:val="00A01230"/>
    <w:rsid w:val="00A01793"/>
    <w:rsid w:val="00A0204F"/>
    <w:rsid w:val="00A03266"/>
    <w:rsid w:val="00A04723"/>
    <w:rsid w:val="00A05907"/>
    <w:rsid w:val="00A0643A"/>
    <w:rsid w:val="00A068B5"/>
    <w:rsid w:val="00A06A83"/>
    <w:rsid w:val="00A07000"/>
    <w:rsid w:val="00A07745"/>
    <w:rsid w:val="00A0797E"/>
    <w:rsid w:val="00A11517"/>
    <w:rsid w:val="00A13239"/>
    <w:rsid w:val="00A1329A"/>
    <w:rsid w:val="00A14309"/>
    <w:rsid w:val="00A156A2"/>
    <w:rsid w:val="00A1679B"/>
    <w:rsid w:val="00A179DA"/>
    <w:rsid w:val="00A20811"/>
    <w:rsid w:val="00A20B25"/>
    <w:rsid w:val="00A21F52"/>
    <w:rsid w:val="00A22369"/>
    <w:rsid w:val="00A22F42"/>
    <w:rsid w:val="00A231CB"/>
    <w:rsid w:val="00A24F0A"/>
    <w:rsid w:val="00A25307"/>
    <w:rsid w:val="00A2569C"/>
    <w:rsid w:val="00A27A13"/>
    <w:rsid w:val="00A3172F"/>
    <w:rsid w:val="00A31D64"/>
    <w:rsid w:val="00A31EBC"/>
    <w:rsid w:val="00A3239A"/>
    <w:rsid w:val="00A34EB8"/>
    <w:rsid w:val="00A3578F"/>
    <w:rsid w:val="00A35C28"/>
    <w:rsid w:val="00A35F9C"/>
    <w:rsid w:val="00A37841"/>
    <w:rsid w:val="00A40925"/>
    <w:rsid w:val="00A43B07"/>
    <w:rsid w:val="00A44CFE"/>
    <w:rsid w:val="00A452F6"/>
    <w:rsid w:val="00A46BC3"/>
    <w:rsid w:val="00A5171B"/>
    <w:rsid w:val="00A51DBE"/>
    <w:rsid w:val="00A52EFA"/>
    <w:rsid w:val="00A5380C"/>
    <w:rsid w:val="00A558CB"/>
    <w:rsid w:val="00A62B09"/>
    <w:rsid w:val="00A6328F"/>
    <w:rsid w:val="00A647FC"/>
    <w:rsid w:val="00A65044"/>
    <w:rsid w:val="00A659BE"/>
    <w:rsid w:val="00A66093"/>
    <w:rsid w:val="00A66317"/>
    <w:rsid w:val="00A67DDA"/>
    <w:rsid w:val="00A67E02"/>
    <w:rsid w:val="00A72F9A"/>
    <w:rsid w:val="00A73502"/>
    <w:rsid w:val="00A76F41"/>
    <w:rsid w:val="00A77328"/>
    <w:rsid w:val="00A77DE5"/>
    <w:rsid w:val="00A77E08"/>
    <w:rsid w:val="00A80213"/>
    <w:rsid w:val="00A820C3"/>
    <w:rsid w:val="00A82BFB"/>
    <w:rsid w:val="00A862CB"/>
    <w:rsid w:val="00A873FD"/>
    <w:rsid w:val="00A878C6"/>
    <w:rsid w:val="00A90EB1"/>
    <w:rsid w:val="00A912F9"/>
    <w:rsid w:val="00A91D80"/>
    <w:rsid w:val="00A923A8"/>
    <w:rsid w:val="00A92ACE"/>
    <w:rsid w:val="00A94A29"/>
    <w:rsid w:val="00A954EE"/>
    <w:rsid w:val="00A96C14"/>
    <w:rsid w:val="00A970E9"/>
    <w:rsid w:val="00AA0516"/>
    <w:rsid w:val="00AA428F"/>
    <w:rsid w:val="00AA4C98"/>
    <w:rsid w:val="00AA4E2A"/>
    <w:rsid w:val="00AA5819"/>
    <w:rsid w:val="00AA6BC0"/>
    <w:rsid w:val="00AA6F2E"/>
    <w:rsid w:val="00AA7194"/>
    <w:rsid w:val="00AA7DE9"/>
    <w:rsid w:val="00AB0B69"/>
    <w:rsid w:val="00AB10D5"/>
    <w:rsid w:val="00AB112A"/>
    <w:rsid w:val="00AB1317"/>
    <w:rsid w:val="00AB2567"/>
    <w:rsid w:val="00AB2998"/>
    <w:rsid w:val="00AB3755"/>
    <w:rsid w:val="00AB436F"/>
    <w:rsid w:val="00AB4901"/>
    <w:rsid w:val="00AB52E3"/>
    <w:rsid w:val="00AB5922"/>
    <w:rsid w:val="00AB59D3"/>
    <w:rsid w:val="00AB7347"/>
    <w:rsid w:val="00AB73E5"/>
    <w:rsid w:val="00AB7A52"/>
    <w:rsid w:val="00AC01C5"/>
    <w:rsid w:val="00AC0401"/>
    <w:rsid w:val="00AC06BF"/>
    <w:rsid w:val="00AC16D7"/>
    <w:rsid w:val="00AC18C5"/>
    <w:rsid w:val="00AC1C82"/>
    <w:rsid w:val="00AC2617"/>
    <w:rsid w:val="00AC2F8D"/>
    <w:rsid w:val="00AC417E"/>
    <w:rsid w:val="00AC471F"/>
    <w:rsid w:val="00AC4EF5"/>
    <w:rsid w:val="00AC53E1"/>
    <w:rsid w:val="00AC6323"/>
    <w:rsid w:val="00AC6A88"/>
    <w:rsid w:val="00AC6C69"/>
    <w:rsid w:val="00AC7D08"/>
    <w:rsid w:val="00AC7EB4"/>
    <w:rsid w:val="00AD011B"/>
    <w:rsid w:val="00AD01AD"/>
    <w:rsid w:val="00AD0794"/>
    <w:rsid w:val="00AD1F7E"/>
    <w:rsid w:val="00AD23B6"/>
    <w:rsid w:val="00AD25E0"/>
    <w:rsid w:val="00AD43D4"/>
    <w:rsid w:val="00AD4E45"/>
    <w:rsid w:val="00AD57BA"/>
    <w:rsid w:val="00AD7356"/>
    <w:rsid w:val="00AE0869"/>
    <w:rsid w:val="00AE2BF4"/>
    <w:rsid w:val="00AE3076"/>
    <w:rsid w:val="00AE3E8A"/>
    <w:rsid w:val="00AE4DA1"/>
    <w:rsid w:val="00AE555D"/>
    <w:rsid w:val="00AE616F"/>
    <w:rsid w:val="00AE628E"/>
    <w:rsid w:val="00AE66D8"/>
    <w:rsid w:val="00AE757A"/>
    <w:rsid w:val="00AE7B1A"/>
    <w:rsid w:val="00AF12C3"/>
    <w:rsid w:val="00AF43D0"/>
    <w:rsid w:val="00AF4B64"/>
    <w:rsid w:val="00AF4D72"/>
    <w:rsid w:val="00AF4E12"/>
    <w:rsid w:val="00AF5A23"/>
    <w:rsid w:val="00AF5C24"/>
    <w:rsid w:val="00AF73A0"/>
    <w:rsid w:val="00AF79D3"/>
    <w:rsid w:val="00B00625"/>
    <w:rsid w:val="00B01F56"/>
    <w:rsid w:val="00B02A4D"/>
    <w:rsid w:val="00B05D93"/>
    <w:rsid w:val="00B0617A"/>
    <w:rsid w:val="00B06772"/>
    <w:rsid w:val="00B1339C"/>
    <w:rsid w:val="00B14C38"/>
    <w:rsid w:val="00B15A2C"/>
    <w:rsid w:val="00B16FCD"/>
    <w:rsid w:val="00B17CDC"/>
    <w:rsid w:val="00B20952"/>
    <w:rsid w:val="00B22D6F"/>
    <w:rsid w:val="00B23937"/>
    <w:rsid w:val="00B23B35"/>
    <w:rsid w:val="00B26434"/>
    <w:rsid w:val="00B26BDB"/>
    <w:rsid w:val="00B32E76"/>
    <w:rsid w:val="00B33B80"/>
    <w:rsid w:val="00B348EB"/>
    <w:rsid w:val="00B35596"/>
    <w:rsid w:val="00B357EB"/>
    <w:rsid w:val="00B371C8"/>
    <w:rsid w:val="00B37A9E"/>
    <w:rsid w:val="00B40A2C"/>
    <w:rsid w:val="00B41AD7"/>
    <w:rsid w:val="00B41E2C"/>
    <w:rsid w:val="00B41F12"/>
    <w:rsid w:val="00B43893"/>
    <w:rsid w:val="00B44388"/>
    <w:rsid w:val="00B44906"/>
    <w:rsid w:val="00B4720B"/>
    <w:rsid w:val="00B47933"/>
    <w:rsid w:val="00B47ABD"/>
    <w:rsid w:val="00B506F9"/>
    <w:rsid w:val="00B51F27"/>
    <w:rsid w:val="00B53DB9"/>
    <w:rsid w:val="00B56E73"/>
    <w:rsid w:val="00B57837"/>
    <w:rsid w:val="00B57A95"/>
    <w:rsid w:val="00B620CD"/>
    <w:rsid w:val="00B63B59"/>
    <w:rsid w:val="00B65A8B"/>
    <w:rsid w:val="00B66AE4"/>
    <w:rsid w:val="00B66FE6"/>
    <w:rsid w:val="00B678C4"/>
    <w:rsid w:val="00B708AD"/>
    <w:rsid w:val="00B72ACA"/>
    <w:rsid w:val="00B72E1B"/>
    <w:rsid w:val="00B72FDE"/>
    <w:rsid w:val="00B73471"/>
    <w:rsid w:val="00B74BB1"/>
    <w:rsid w:val="00B75137"/>
    <w:rsid w:val="00B758F1"/>
    <w:rsid w:val="00B76072"/>
    <w:rsid w:val="00B76411"/>
    <w:rsid w:val="00B76CEE"/>
    <w:rsid w:val="00B7775A"/>
    <w:rsid w:val="00B803AA"/>
    <w:rsid w:val="00B82008"/>
    <w:rsid w:val="00B84222"/>
    <w:rsid w:val="00B86501"/>
    <w:rsid w:val="00B871FC"/>
    <w:rsid w:val="00B87678"/>
    <w:rsid w:val="00B90828"/>
    <w:rsid w:val="00B92B9A"/>
    <w:rsid w:val="00B938EC"/>
    <w:rsid w:val="00B94572"/>
    <w:rsid w:val="00B9521B"/>
    <w:rsid w:val="00B95CED"/>
    <w:rsid w:val="00B96F93"/>
    <w:rsid w:val="00B978C2"/>
    <w:rsid w:val="00BA160F"/>
    <w:rsid w:val="00BA162C"/>
    <w:rsid w:val="00BA2137"/>
    <w:rsid w:val="00BA3758"/>
    <w:rsid w:val="00BA39A6"/>
    <w:rsid w:val="00BA49D8"/>
    <w:rsid w:val="00BA6E3A"/>
    <w:rsid w:val="00BA7FC4"/>
    <w:rsid w:val="00BB0DFD"/>
    <w:rsid w:val="00BB122B"/>
    <w:rsid w:val="00BB333C"/>
    <w:rsid w:val="00BB34BD"/>
    <w:rsid w:val="00BB62F9"/>
    <w:rsid w:val="00BB7480"/>
    <w:rsid w:val="00BC0E71"/>
    <w:rsid w:val="00BC5299"/>
    <w:rsid w:val="00BC542D"/>
    <w:rsid w:val="00BC55D0"/>
    <w:rsid w:val="00BC5705"/>
    <w:rsid w:val="00BC590F"/>
    <w:rsid w:val="00BC6013"/>
    <w:rsid w:val="00BC73A3"/>
    <w:rsid w:val="00BD1AFF"/>
    <w:rsid w:val="00BD38D1"/>
    <w:rsid w:val="00BD4322"/>
    <w:rsid w:val="00BD48E1"/>
    <w:rsid w:val="00BD685E"/>
    <w:rsid w:val="00BD75A0"/>
    <w:rsid w:val="00BE0D05"/>
    <w:rsid w:val="00BE101A"/>
    <w:rsid w:val="00BE2251"/>
    <w:rsid w:val="00BE2367"/>
    <w:rsid w:val="00BE5109"/>
    <w:rsid w:val="00BF0177"/>
    <w:rsid w:val="00BF0752"/>
    <w:rsid w:val="00BF11BA"/>
    <w:rsid w:val="00BF1261"/>
    <w:rsid w:val="00BF138B"/>
    <w:rsid w:val="00BF334C"/>
    <w:rsid w:val="00BF67E2"/>
    <w:rsid w:val="00BF7C0A"/>
    <w:rsid w:val="00C02EC3"/>
    <w:rsid w:val="00C038AE"/>
    <w:rsid w:val="00C04355"/>
    <w:rsid w:val="00C05EBD"/>
    <w:rsid w:val="00C06420"/>
    <w:rsid w:val="00C069A3"/>
    <w:rsid w:val="00C073F1"/>
    <w:rsid w:val="00C07F56"/>
    <w:rsid w:val="00C1084C"/>
    <w:rsid w:val="00C10B34"/>
    <w:rsid w:val="00C11A8A"/>
    <w:rsid w:val="00C11F6D"/>
    <w:rsid w:val="00C12087"/>
    <w:rsid w:val="00C1484C"/>
    <w:rsid w:val="00C15385"/>
    <w:rsid w:val="00C1582B"/>
    <w:rsid w:val="00C2068E"/>
    <w:rsid w:val="00C21DF7"/>
    <w:rsid w:val="00C2245F"/>
    <w:rsid w:val="00C22867"/>
    <w:rsid w:val="00C26DC9"/>
    <w:rsid w:val="00C303AD"/>
    <w:rsid w:val="00C3067E"/>
    <w:rsid w:val="00C32E76"/>
    <w:rsid w:val="00C33525"/>
    <w:rsid w:val="00C34099"/>
    <w:rsid w:val="00C34F98"/>
    <w:rsid w:val="00C36986"/>
    <w:rsid w:val="00C369C7"/>
    <w:rsid w:val="00C37E41"/>
    <w:rsid w:val="00C429AB"/>
    <w:rsid w:val="00C43756"/>
    <w:rsid w:val="00C449BE"/>
    <w:rsid w:val="00C45146"/>
    <w:rsid w:val="00C45812"/>
    <w:rsid w:val="00C45AA9"/>
    <w:rsid w:val="00C477BD"/>
    <w:rsid w:val="00C51EC1"/>
    <w:rsid w:val="00C524AF"/>
    <w:rsid w:val="00C53CC0"/>
    <w:rsid w:val="00C5431E"/>
    <w:rsid w:val="00C54595"/>
    <w:rsid w:val="00C558D0"/>
    <w:rsid w:val="00C57C6F"/>
    <w:rsid w:val="00C60EB3"/>
    <w:rsid w:val="00C61C3F"/>
    <w:rsid w:val="00C64569"/>
    <w:rsid w:val="00C661CF"/>
    <w:rsid w:val="00C66605"/>
    <w:rsid w:val="00C66827"/>
    <w:rsid w:val="00C66EF1"/>
    <w:rsid w:val="00C670CB"/>
    <w:rsid w:val="00C70103"/>
    <w:rsid w:val="00C7014E"/>
    <w:rsid w:val="00C713C7"/>
    <w:rsid w:val="00C71ABC"/>
    <w:rsid w:val="00C72E60"/>
    <w:rsid w:val="00C748E4"/>
    <w:rsid w:val="00C74E83"/>
    <w:rsid w:val="00C755DA"/>
    <w:rsid w:val="00C770B8"/>
    <w:rsid w:val="00C77737"/>
    <w:rsid w:val="00C805CF"/>
    <w:rsid w:val="00C840AF"/>
    <w:rsid w:val="00C841CD"/>
    <w:rsid w:val="00C853F7"/>
    <w:rsid w:val="00C8590B"/>
    <w:rsid w:val="00C87A5C"/>
    <w:rsid w:val="00C904B1"/>
    <w:rsid w:val="00C90819"/>
    <w:rsid w:val="00C91ADC"/>
    <w:rsid w:val="00C93657"/>
    <w:rsid w:val="00C940BC"/>
    <w:rsid w:val="00C950BE"/>
    <w:rsid w:val="00C951A1"/>
    <w:rsid w:val="00C959D3"/>
    <w:rsid w:val="00C96052"/>
    <w:rsid w:val="00C96322"/>
    <w:rsid w:val="00C97F85"/>
    <w:rsid w:val="00CA0338"/>
    <w:rsid w:val="00CA0413"/>
    <w:rsid w:val="00CA08A0"/>
    <w:rsid w:val="00CA5CF1"/>
    <w:rsid w:val="00CA782E"/>
    <w:rsid w:val="00CA7A3D"/>
    <w:rsid w:val="00CB011F"/>
    <w:rsid w:val="00CB19F9"/>
    <w:rsid w:val="00CB31A5"/>
    <w:rsid w:val="00CB369A"/>
    <w:rsid w:val="00CB4BEC"/>
    <w:rsid w:val="00CB58B0"/>
    <w:rsid w:val="00CB65E7"/>
    <w:rsid w:val="00CB7280"/>
    <w:rsid w:val="00CB76D8"/>
    <w:rsid w:val="00CB794C"/>
    <w:rsid w:val="00CC0C9F"/>
    <w:rsid w:val="00CC19F4"/>
    <w:rsid w:val="00CC396A"/>
    <w:rsid w:val="00CC54AF"/>
    <w:rsid w:val="00CC6036"/>
    <w:rsid w:val="00CC7713"/>
    <w:rsid w:val="00CC78AC"/>
    <w:rsid w:val="00CC7AAA"/>
    <w:rsid w:val="00CD0374"/>
    <w:rsid w:val="00CD0BC0"/>
    <w:rsid w:val="00CD2E5F"/>
    <w:rsid w:val="00CD4A37"/>
    <w:rsid w:val="00CD64D8"/>
    <w:rsid w:val="00CE0AF2"/>
    <w:rsid w:val="00CE1597"/>
    <w:rsid w:val="00CE1AF2"/>
    <w:rsid w:val="00CE1D11"/>
    <w:rsid w:val="00CE3066"/>
    <w:rsid w:val="00CE3690"/>
    <w:rsid w:val="00CE4CEF"/>
    <w:rsid w:val="00CE5C1E"/>
    <w:rsid w:val="00CE70DF"/>
    <w:rsid w:val="00CF11B1"/>
    <w:rsid w:val="00CF12E4"/>
    <w:rsid w:val="00CF1AF1"/>
    <w:rsid w:val="00CF3BE8"/>
    <w:rsid w:val="00CF5134"/>
    <w:rsid w:val="00D0201C"/>
    <w:rsid w:val="00D0226E"/>
    <w:rsid w:val="00D03D65"/>
    <w:rsid w:val="00D04708"/>
    <w:rsid w:val="00D055BC"/>
    <w:rsid w:val="00D06AB9"/>
    <w:rsid w:val="00D104B4"/>
    <w:rsid w:val="00D11244"/>
    <w:rsid w:val="00D11C3A"/>
    <w:rsid w:val="00D12F63"/>
    <w:rsid w:val="00D146BB"/>
    <w:rsid w:val="00D17F69"/>
    <w:rsid w:val="00D20A19"/>
    <w:rsid w:val="00D217E9"/>
    <w:rsid w:val="00D219DA"/>
    <w:rsid w:val="00D21C6B"/>
    <w:rsid w:val="00D2391F"/>
    <w:rsid w:val="00D23C77"/>
    <w:rsid w:val="00D23EF8"/>
    <w:rsid w:val="00D30EB7"/>
    <w:rsid w:val="00D31247"/>
    <w:rsid w:val="00D31EDA"/>
    <w:rsid w:val="00D3292B"/>
    <w:rsid w:val="00D32E50"/>
    <w:rsid w:val="00D340DE"/>
    <w:rsid w:val="00D358FF"/>
    <w:rsid w:val="00D36090"/>
    <w:rsid w:val="00D374CD"/>
    <w:rsid w:val="00D40BF9"/>
    <w:rsid w:val="00D40DCB"/>
    <w:rsid w:val="00D42A0A"/>
    <w:rsid w:val="00D4387A"/>
    <w:rsid w:val="00D45A37"/>
    <w:rsid w:val="00D46586"/>
    <w:rsid w:val="00D53106"/>
    <w:rsid w:val="00D53212"/>
    <w:rsid w:val="00D545FB"/>
    <w:rsid w:val="00D55E2B"/>
    <w:rsid w:val="00D56388"/>
    <w:rsid w:val="00D5759B"/>
    <w:rsid w:val="00D57A2B"/>
    <w:rsid w:val="00D60BEF"/>
    <w:rsid w:val="00D610E6"/>
    <w:rsid w:val="00D6133E"/>
    <w:rsid w:val="00D614D7"/>
    <w:rsid w:val="00D616DC"/>
    <w:rsid w:val="00D63354"/>
    <w:rsid w:val="00D63786"/>
    <w:rsid w:val="00D63976"/>
    <w:rsid w:val="00D6399F"/>
    <w:rsid w:val="00D64B18"/>
    <w:rsid w:val="00D64EB5"/>
    <w:rsid w:val="00D65871"/>
    <w:rsid w:val="00D6589D"/>
    <w:rsid w:val="00D670A3"/>
    <w:rsid w:val="00D721EA"/>
    <w:rsid w:val="00D7295D"/>
    <w:rsid w:val="00D74C7F"/>
    <w:rsid w:val="00D74F07"/>
    <w:rsid w:val="00D7752F"/>
    <w:rsid w:val="00D77B0B"/>
    <w:rsid w:val="00D80D1F"/>
    <w:rsid w:val="00D813CB"/>
    <w:rsid w:val="00D81509"/>
    <w:rsid w:val="00D82134"/>
    <w:rsid w:val="00D83E65"/>
    <w:rsid w:val="00D841EA"/>
    <w:rsid w:val="00D8625D"/>
    <w:rsid w:val="00D86368"/>
    <w:rsid w:val="00D868CE"/>
    <w:rsid w:val="00D8765B"/>
    <w:rsid w:val="00D917FD"/>
    <w:rsid w:val="00D91F70"/>
    <w:rsid w:val="00D948C3"/>
    <w:rsid w:val="00D973BC"/>
    <w:rsid w:val="00DA001E"/>
    <w:rsid w:val="00DA1655"/>
    <w:rsid w:val="00DA195E"/>
    <w:rsid w:val="00DA2504"/>
    <w:rsid w:val="00DA2A40"/>
    <w:rsid w:val="00DA307D"/>
    <w:rsid w:val="00DA32AC"/>
    <w:rsid w:val="00DA3E82"/>
    <w:rsid w:val="00DA58F8"/>
    <w:rsid w:val="00DA5EF4"/>
    <w:rsid w:val="00DA7807"/>
    <w:rsid w:val="00DB0820"/>
    <w:rsid w:val="00DB2F72"/>
    <w:rsid w:val="00DB4B2F"/>
    <w:rsid w:val="00DB6D2E"/>
    <w:rsid w:val="00DB719D"/>
    <w:rsid w:val="00DB7613"/>
    <w:rsid w:val="00DC0451"/>
    <w:rsid w:val="00DC33B9"/>
    <w:rsid w:val="00DC4107"/>
    <w:rsid w:val="00DC5F37"/>
    <w:rsid w:val="00DD00DC"/>
    <w:rsid w:val="00DD11A9"/>
    <w:rsid w:val="00DD3FA9"/>
    <w:rsid w:val="00DD5E0F"/>
    <w:rsid w:val="00DD604A"/>
    <w:rsid w:val="00DE2BE1"/>
    <w:rsid w:val="00DE3412"/>
    <w:rsid w:val="00DE40E0"/>
    <w:rsid w:val="00DE41C6"/>
    <w:rsid w:val="00DE49A7"/>
    <w:rsid w:val="00DE4D69"/>
    <w:rsid w:val="00DE6094"/>
    <w:rsid w:val="00DE7A12"/>
    <w:rsid w:val="00DE7EAC"/>
    <w:rsid w:val="00DF1797"/>
    <w:rsid w:val="00DF371D"/>
    <w:rsid w:val="00DF3C16"/>
    <w:rsid w:val="00DF3EA0"/>
    <w:rsid w:val="00DF417F"/>
    <w:rsid w:val="00DF4B74"/>
    <w:rsid w:val="00DF7B75"/>
    <w:rsid w:val="00E00587"/>
    <w:rsid w:val="00E01791"/>
    <w:rsid w:val="00E02796"/>
    <w:rsid w:val="00E02AED"/>
    <w:rsid w:val="00E02B9F"/>
    <w:rsid w:val="00E02DD4"/>
    <w:rsid w:val="00E0359C"/>
    <w:rsid w:val="00E03CAE"/>
    <w:rsid w:val="00E046AB"/>
    <w:rsid w:val="00E04E11"/>
    <w:rsid w:val="00E05BC1"/>
    <w:rsid w:val="00E05F29"/>
    <w:rsid w:val="00E07069"/>
    <w:rsid w:val="00E11C57"/>
    <w:rsid w:val="00E13D08"/>
    <w:rsid w:val="00E14173"/>
    <w:rsid w:val="00E16423"/>
    <w:rsid w:val="00E17835"/>
    <w:rsid w:val="00E21019"/>
    <w:rsid w:val="00E219A6"/>
    <w:rsid w:val="00E2470F"/>
    <w:rsid w:val="00E24805"/>
    <w:rsid w:val="00E25208"/>
    <w:rsid w:val="00E30211"/>
    <w:rsid w:val="00E30983"/>
    <w:rsid w:val="00E309A0"/>
    <w:rsid w:val="00E31634"/>
    <w:rsid w:val="00E31E63"/>
    <w:rsid w:val="00E32711"/>
    <w:rsid w:val="00E32D73"/>
    <w:rsid w:val="00E33CBD"/>
    <w:rsid w:val="00E33CC6"/>
    <w:rsid w:val="00E33D09"/>
    <w:rsid w:val="00E340EB"/>
    <w:rsid w:val="00E34F6E"/>
    <w:rsid w:val="00E361EE"/>
    <w:rsid w:val="00E36B7C"/>
    <w:rsid w:val="00E404D4"/>
    <w:rsid w:val="00E40581"/>
    <w:rsid w:val="00E4202A"/>
    <w:rsid w:val="00E42DEA"/>
    <w:rsid w:val="00E44380"/>
    <w:rsid w:val="00E45809"/>
    <w:rsid w:val="00E463C8"/>
    <w:rsid w:val="00E46D7B"/>
    <w:rsid w:val="00E47787"/>
    <w:rsid w:val="00E47F9B"/>
    <w:rsid w:val="00E51157"/>
    <w:rsid w:val="00E535EB"/>
    <w:rsid w:val="00E538EB"/>
    <w:rsid w:val="00E55C85"/>
    <w:rsid w:val="00E56A2B"/>
    <w:rsid w:val="00E56E19"/>
    <w:rsid w:val="00E5710E"/>
    <w:rsid w:val="00E57B75"/>
    <w:rsid w:val="00E6014D"/>
    <w:rsid w:val="00E602E1"/>
    <w:rsid w:val="00E61062"/>
    <w:rsid w:val="00E620EC"/>
    <w:rsid w:val="00E6280D"/>
    <w:rsid w:val="00E62960"/>
    <w:rsid w:val="00E65CF8"/>
    <w:rsid w:val="00E67005"/>
    <w:rsid w:val="00E6776A"/>
    <w:rsid w:val="00E70C16"/>
    <w:rsid w:val="00E716E5"/>
    <w:rsid w:val="00E72FCA"/>
    <w:rsid w:val="00E74735"/>
    <w:rsid w:val="00E76096"/>
    <w:rsid w:val="00E76119"/>
    <w:rsid w:val="00E76569"/>
    <w:rsid w:val="00E76A71"/>
    <w:rsid w:val="00E779F0"/>
    <w:rsid w:val="00E77A65"/>
    <w:rsid w:val="00E80154"/>
    <w:rsid w:val="00E80575"/>
    <w:rsid w:val="00E8058A"/>
    <w:rsid w:val="00E815D3"/>
    <w:rsid w:val="00E85044"/>
    <w:rsid w:val="00E851AE"/>
    <w:rsid w:val="00E85260"/>
    <w:rsid w:val="00E87D8F"/>
    <w:rsid w:val="00E87DB6"/>
    <w:rsid w:val="00E87E25"/>
    <w:rsid w:val="00E9122E"/>
    <w:rsid w:val="00E93A24"/>
    <w:rsid w:val="00E940A7"/>
    <w:rsid w:val="00E955E4"/>
    <w:rsid w:val="00E958CC"/>
    <w:rsid w:val="00E96B75"/>
    <w:rsid w:val="00EA002D"/>
    <w:rsid w:val="00EA0149"/>
    <w:rsid w:val="00EA0ADE"/>
    <w:rsid w:val="00EA1DBA"/>
    <w:rsid w:val="00EA30F1"/>
    <w:rsid w:val="00EA32CF"/>
    <w:rsid w:val="00EA35A2"/>
    <w:rsid w:val="00EA3AC0"/>
    <w:rsid w:val="00EA6D39"/>
    <w:rsid w:val="00EA7E42"/>
    <w:rsid w:val="00EB0286"/>
    <w:rsid w:val="00EB3500"/>
    <w:rsid w:val="00EB47C6"/>
    <w:rsid w:val="00EB4E07"/>
    <w:rsid w:val="00EB6407"/>
    <w:rsid w:val="00EB6D3C"/>
    <w:rsid w:val="00EB7236"/>
    <w:rsid w:val="00EC0787"/>
    <w:rsid w:val="00EC1ABF"/>
    <w:rsid w:val="00EC23AB"/>
    <w:rsid w:val="00EC2900"/>
    <w:rsid w:val="00EC3630"/>
    <w:rsid w:val="00EC3E91"/>
    <w:rsid w:val="00EC7634"/>
    <w:rsid w:val="00EC7976"/>
    <w:rsid w:val="00ED07AE"/>
    <w:rsid w:val="00ED1130"/>
    <w:rsid w:val="00ED236D"/>
    <w:rsid w:val="00ED449E"/>
    <w:rsid w:val="00ED45E4"/>
    <w:rsid w:val="00ED4C13"/>
    <w:rsid w:val="00ED4D6B"/>
    <w:rsid w:val="00ED5964"/>
    <w:rsid w:val="00ED5E9D"/>
    <w:rsid w:val="00ED6C51"/>
    <w:rsid w:val="00EE0EDA"/>
    <w:rsid w:val="00EE0F44"/>
    <w:rsid w:val="00EE1870"/>
    <w:rsid w:val="00EE2AF3"/>
    <w:rsid w:val="00EE2AFD"/>
    <w:rsid w:val="00EE2B7E"/>
    <w:rsid w:val="00EE32AA"/>
    <w:rsid w:val="00EE365F"/>
    <w:rsid w:val="00EE4C37"/>
    <w:rsid w:val="00EE563A"/>
    <w:rsid w:val="00EE5D95"/>
    <w:rsid w:val="00EF00D8"/>
    <w:rsid w:val="00EF0C2F"/>
    <w:rsid w:val="00EF2C6B"/>
    <w:rsid w:val="00EF3049"/>
    <w:rsid w:val="00F013A5"/>
    <w:rsid w:val="00F021D7"/>
    <w:rsid w:val="00F02E20"/>
    <w:rsid w:val="00F02F85"/>
    <w:rsid w:val="00F044D7"/>
    <w:rsid w:val="00F0578F"/>
    <w:rsid w:val="00F05C1B"/>
    <w:rsid w:val="00F104B3"/>
    <w:rsid w:val="00F10C31"/>
    <w:rsid w:val="00F10FD4"/>
    <w:rsid w:val="00F11102"/>
    <w:rsid w:val="00F115A8"/>
    <w:rsid w:val="00F13E1F"/>
    <w:rsid w:val="00F14CAF"/>
    <w:rsid w:val="00F15508"/>
    <w:rsid w:val="00F161B4"/>
    <w:rsid w:val="00F20A65"/>
    <w:rsid w:val="00F21986"/>
    <w:rsid w:val="00F222A4"/>
    <w:rsid w:val="00F2373B"/>
    <w:rsid w:val="00F23E2C"/>
    <w:rsid w:val="00F2438B"/>
    <w:rsid w:val="00F2449A"/>
    <w:rsid w:val="00F245C8"/>
    <w:rsid w:val="00F26F9D"/>
    <w:rsid w:val="00F2742E"/>
    <w:rsid w:val="00F27F85"/>
    <w:rsid w:val="00F30953"/>
    <w:rsid w:val="00F32ED9"/>
    <w:rsid w:val="00F33CE3"/>
    <w:rsid w:val="00F342F4"/>
    <w:rsid w:val="00F34F1E"/>
    <w:rsid w:val="00F36177"/>
    <w:rsid w:val="00F36A36"/>
    <w:rsid w:val="00F3777D"/>
    <w:rsid w:val="00F404F0"/>
    <w:rsid w:val="00F40A28"/>
    <w:rsid w:val="00F41381"/>
    <w:rsid w:val="00F4183F"/>
    <w:rsid w:val="00F428C4"/>
    <w:rsid w:val="00F44B94"/>
    <w:rsid w:val="00F44EFC"/>
    <w:rsid w:val="00F4549B"/>
    <w:rsid w:val="00F461B7"/>
    <w:rsid w:val="00F47D02"/>
    <w:rsid w:val="00F50145"/>
    <w:rsid w:val="00F505BC"/>
    <w:rsid w:val="00F506EA"/>
    <w:rsid w:val="00F52B50"/>
    <w:rsid w:val="00F53E67"/>
    <w:rsid w:val="00F551CB"/>
    <w:rsid w:val="00F553CE"/>
    <w:rsid w:val="00F55757"/>
    <w:rsid w:val="00F55B15"/>
    <w:rsid w:val="00F56620"/>
    <w:rsid w:val="00F56B5A"/>
    <w:rsid w:val="00F602CB"/>
    <w:rsid w:val="00F615F9"/>
    <w:rsid w:val="00F62CF8"/>
    <w:rsid w:val="00F63F93"/>
    <w:rsid w:val="00F641DF"/>
    <w:rsid w:val="00F65179"/>
    <w:rsid w:val="00F67F91"/>
    <w:rsid w:val="00F71E19"/>
    <w:rsid w:val="00F72931"/>
    <w:rsid w:val="00F759C1"/>
    <w:rsid w:val="00F76E9C"/>
    <w:rsid w:val="00F77B8E"/>
    <w:rsid w:val="00F77DC4"/>
    <w:rsid w:val="00F8012F"/>
    <w:rsid w:val="00F80C37"/>
    <w:rsid w:val="00F81A17"/>
    <w:rsid w:val="00F8221D"/>
    <w:rsid w:val="00F82C37"/>
    <w:rsid w:val="00F830B6"/>
    <w:rsid w:val="00F83C66"/>
    <w:rsid w:val="00F83E0F"/>
    <w:rsid w:val="00F84E90"/>
    <w:rsid w:val="00F85FE1"/>
    <w:rsid w:val="00F92A4E"/>
    <w:rsid w:val="00F92B8E"/>
    <w:rsid w:val="00F93917"/>
    <w:rsid w:val="00F943B3"/>
    <w:rsid w:val="00F9549D"/>
    <w:rsid w:val="00F961F8"/>
    <w:rsid w:val="00F96B22"/>
    <w:rsid w:val="00FA02F2"/>
    <w:rsid w:val="00FA0B76"/>
    <w:rsid w:val="00FA3F1A"/>
    <w:rsid w:val="00FA53A4"/>
    <w:rsid w:val="00FA5A96"/>
    <w:rsid w:val="00FA5CD1"/>
    <w:rsid w:val="00FA6628"/>
    <w:rsid w:val="00FA70FF"/>
    <w:rsid w:val="00FA7E75"/>
    <w:rsid w:val="00FA7F87"/>
    <w:rsid w:val="00FB148B"/>
    <w:rsid w:val="00FB26F8"/>
    <w:rsid w:val="00FB3D1F"/>
    <w:rsid w:val="00FC07C0"/>
    <w:rsid w:val="00FC0A0D"/>
    <w:rsid w:val="00FC0DE3"/>
    <w:rsid w:val="00FC134D"/>
    <w:rsid w:val="00FC1F2E"/>
    <w:rsid w:val="00FC25D7"/>
    <w:rsid w:val="00FC3125"/>
    <w:rsid w:val="00FC3D56"/>
    <w:rsid w:val="00FC42D5"/>
    <w:rsid w:val="00FC49EB"/>
    <w:rsid w:val="00FC4F24"/>
    <w:rsid w:val="00FC66EB"/>
    <w:rsid w:val="00FC6CBF"/>
    <w:rsid w:val="00FC707E"/>
    <w:rsid w:val="00FC7A40"/>
    <w:rsid w:val="00FD0F58"/>
    <w:rsid w:val="00FD2332"/>
    <w:rsid w:val="00FD3DEE"/>
    <w:rsid w:val="00FD5057"/>
    <w:rsid w:val="00FD54EE"/>
    <w:rsid w:val="00FD5D30"/>
    <w:rsid w:val="00FD6320"/>
    <w:rsid w:val="00FE233A"/>
    <w:rsid w:val="00FE261D"/>
    <w:rsid w:val="00FE2E81"/>
    <w:rsid w:val="00FE2F4E"/>
    <w:rsid w:val="00FE3186"/>
    <w:rsid w:val="00FE4D4C"/>
    <w:rsid w:val="00FE4FDD"/>
    <w:rsid w:val="00FE5D0C"/>
    <w:rsid w:val="00FE6DCC"/>
    <w:rsid w:val="00FF02D6"/>
    <w:rsid w:val="00FF0A3F"/>
    <w:rsid w:val="00FF0A4B"/>
    <w:rsid w:val="00FF0B2F"/>
    <w:rsid w:val="00FF223C"/>
    <w:rsid w:val="00FF3316"/>
    <w:rsid w:val="00FF3DF2"/>
    <w:rsid w:val="00FF3E35"/>
    <w:rsid w:val="00FF48AA"/>
    <w:rsid w:val="00FF4D67"/>
    <w:rsid w:val="00FF5D50"/>
    <w:rsid w:val="038F1418"/>
    <w:rsid w:val="0D4BE486"/>
    <w:rsid w:val="106E5E29"/>
    <w:rsid w:val="14B66AD9"/>
    <w:rsid w:val="1DCB906E"/>
    <w:rsid w:val="1E4665A0"/>
    <w:rsid w:val="1FFC443C"/>
    <w:rsid w:val="26356B1D"/>
    <w:rsid w:val="29E75167"/>
    <w:rsid w:val="2BC1F0F5"/>
    <w:rsid w:val="2ED605BF"/>
    <w:rsid w:val="30817563"/>
    <w:rsid w:val="3180AE77"/>
    <w:rsid w:val="3199D6D4"/>
    <w:rsid w:val="3335A735"/>
    <w:rsid w:val="34B84F39"/>
    <w:rsid w:val="3E4EF48B"/>
    <w:rsid w:val="4082E650"/>
    <w:rsid w:val="40EEC4D3"/>
    <w:rsid w:val="422ABBB2"/>
    <w:rsid w:val="43DF4D75"/>
    <w:rsid w:val="44266595"/>
    <w:rsid w:val="475E0657"/>
    <w:rsid w:val="4A24EFF8"/>
    <w:rsid w:val="4EF89A60"/>
    <w:rsid w:val="4FFDFDCC"/>
    <w:rsid w:val="53B16ABF"/>
    <w:rsid w:val="5514569D"/>
    <w:rsid w:val="57B660E7"/>
    <w:rsid w:val="606D5037"/>
    <w:rsid w:val="6914E375"/>
    <w:rsid w:val="6B2266F2"/>
    <w:rsid w:val="6BA606F6"/>
    <w:rsid w:val="70378F1B"/>
    <w:rsid w:val="7352E2D9"/>
    <w:rsid w:val="7734139F"/>
    <w:rsid w:val="78853AAF"/>
    <w:rsid w:val="7ED91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7B75"/>
  <w15:chartTrackingRefBased/>
  <w15:docId w15:val="{D0ECDBCC-B4CB-4837-9B86-62E69FF3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A5"/>
    <w:pPr>
      <w:widowControl w:val="0"/>
      <w:spacing w:before="120" w:after="12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8207E1"/>
    <w:pPr>
      <w:keepNext/>
      <w:spacing w:before="360" w:after="180"/>
      <w:outlineLvl w:val="0"/>
    </w:pPr>
    <w:rPr>
      <w:b/>
      <w:bCs/>
      <w:kern w:val="32"/>
      <w:sz w:val="32"/>
      <w:szCs w:val="32"/>
    </w:rPr>
  </w:style>
  <w:style w:type="paragraph" w:styleId="Heading2">
    <w:name w:val="heading 2"/>
    <w:basedOn w:val="Normal"/>
    <w:next w:val="Normal"/>
    <w:link w:val="Heading2Char"/>
    <w:uiPriority w:val="9"/>
    <w:unhideWhenUsed/>
    <w:qFormat/>
    <w:rsid w:val="008207E1"/>
    <w:pPr>
      <w:keepNext/>
      <w:spacing w:after="60"/>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9F"/>
    <w:pPr>
      <w:tabs>
        <w:tab w:val="center" w:pos="4513"/>
        <w:tab w:val="right" w:pos="9026"/>
      </w:tabs>
    </w:pPr>
  </w:style>
  <w:style w:type="character" w:customStyle="1" w:styleId="HeaderChar">
    <w:name w:val="Header Char"/>
    <w:link w:val="Header"/>
    <w:uiPriority w:val="99"/>
    <w:rsid w:val="0046369F"/>
    <w:rPr>
      <w:rFonts w:ascii="Times New Roman" w:eastAsia="Times New Roman" w:hAnsi="Times New Roman" w:cs="Times New Roman"/>
      <w:snapToGrid w:val="0"/>
      <w:sz w:val="24"/>
      <w:szCs w:val="20"/>
      <w:lang w:val="en-US"/>
    </w:rPr>
  </w:style>
  <w:style w:type="character" w:styleId="Hyperlink">
    <w:name w:val="Hyperlink"/>
    <w:uiPriority w:val="99"/>
    <w:rsid w:val="0046369F"/>
    <w:rPr>
      <w:color w:val="0000FF"/>
      <w:u w:val="single"/>
    </w:rPr>
  </w:style>
  <w:style w:type="paragraph" w:styleId="Footer">
    <w:name w:val="footer"/>
    <w:basedOn w:val="Normal"/>
    <w:link w:val="FooterChar"/>
    <w:uiPriority w:val="99"/>
    <w:unhideWhenUsed/>
    <w:rsid w:val="0046369F"/>
    <w:pPr>
      <w:tabs>
        <w:tab w:val="center" w:pos="4513"/>
        <w:tab w:val="right" w:pos="9026"/>
      </w:tabs>
    </w:pPr>
  </w:style>
  <w:style w:type="character" w:customStyle="1" w:styleId="FooterChar">
    <w:name w:val="Footer Char"/>
    <w:link w:val="Footer"/>
    <w:uiPriority w:val="99"/>
    <w:rsid w:val="0046369F"/>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46369F"/>
    <w:rPr>
      <w:rFonts w:ascii="Tahoma" w:hAnsi="Tahoma" w:cs="Tahoma"/>
      <w:sz w:val="16"/>
      <w:szCs w:val="16"/>
    </w:rPr>
  </w:style>
  <w:style w:type="character" w:customStyle="1" w:styleId="BalloonTextChar">
    <w:name w:val="Balloon Text Char"/>
    <w:link w:val="BalloonText"/>
    <w:uiPriority w:val="99"/>
    <w:semiHidden/>
    <w:rsid w:val="0046369F"/>
    <w:rPr>
      <w:rFonts w:ascii="Tahoma" w:eastAsia="Times New Roman" w:hAnsi="Tahoma" w:cs="Tahoma"/>
      <w:snapToGrid w:val="0"/>
      <w:sz w:val="16"/>
      <w:szCs w:val="16"/>
      <w:lang w:val="en-US"/>
    </w:rPr>
  </w:style>
  <w:style w:type="character" w:styleId="FollowedHyperlink">
    <w:name w:val="FollowedHyperlink"/>
    <w:uiPriority w:val="99"/>
    <w:semiHidden/>
    <w:unhideWhenUsed/>
    <w:rsid w:val="003C6410"/>
    <w:rPr>
      <w:color w:val="800080"/>
      <w:u w:val="single"/>
    </w:rPr>
  </w:style>
  <w:style w:type="paragraph" w:styleId="NormalWeb">
    <w:name w:val="Normal (Web)"/>
    <w:basedOn w:val="Normal"/>
    <w:uiPriority w:val="99"/>
    <w:semiHidden/>
    <w:unhideWhenUsed/>
    <w:rsid w:val="00660AA9"/>
    <w:rPr>
      <w:szCs w:val="24"/>
    </w:rPr>
  </w:style>
  <w:style w:type="character" w:styleId="UnresolvedMention">
    <w:name w:val="Unresolved Mention"/>
    <w:uiPriority w:val="99"/>
    <w:semiHidden/>
    <w:unhideWhenUsed/>
    <w:rsid w:val="002C78C4"/>
    <w:rPr>
      <w:color w:val="605E5C"/>
      <w:shd w:val="clear" w:color="auto" w:fill="E1DFDD"/>
    </w:rPr>
  </w:style>
  <w:style w:type="character" w:customStyle="1" w:styleId="Heading1Char">
    <w:name w:val="Heading 1 Char"/>
    <w:link w:val="Heading1"/>
    <w:uiPriority w:val="9"/>
    <w:rsid w:val="008207E1"/>
    <w:rPr>
      <w:rFonts w:ascii="Arial" w:eastAsia="Times New Roman" w:hAnsi="Arial" w:cs="Times New Roman"/>
      <w:b/>
      <w:bCs/>
      <w:snapToGrid w:val="0"/>
      <w:kern w:val="32"/>
      <w:sz w:val="32"/>
      <w:szCs w:val="32"/>
      <w:lang w:val="en-US" w:eastAsia="en-US"/>
    </w:rPr>
  </w:style>
  <w:style w:type="character" w:customStyle="1" w:styleId="Heading2Char">
    <w:name w:val="Heading 2 Char"/>
    <w:link w:val="Heading2"/>
    <w:uiPriority w:val="9"/>
    <w:rsid w:val="008207E1"/>
    <w:rPr>
      <w:rFonts w:ascii="Arial" w:eastAsia="Times New Roman" w:hAnsi="Arial" w:cs="Times New Roman"/>
      <w:b/>
      <w:bCs/>
      <w:iCs/>
      <w:snapToGrid w:val="0"/>
      <w:sz w:val="28"/>
      <w:szCs w:val="28"/>
      <w:lang w:val="en-US" w:eastAsia="en-US"/>
    </w:rPr>
  </w:style>
  <w:style w:type="paragraph" w:styleId="TOCHeading">
    <w:name w:val="TOC Heading"/>
    <w:basedOn w:val="Heading1"/>
    <w:next w:val="Normal"/>
    <w:uiPriority w:val="39"/>
    <w:unhideWhenUsed/>
    <w:qFormat/>
    <w:rsid w:val="005B349B"/>
    <w:pPr>
      <w:keepLines/>
      <w:widowControl/>
      <w:spacing w:before="240" w:after="0" w:line="259" w:lineRule="auto"/>
      <w:outlineLvl w:val="9"/>
    </w:pPr>
    <w:rPr>
      <w:rFonts w:ascii="Calibri Light" w:hAnsi="Calibri Light"/>
      <w:b w:val="0"/>
      <w:bCs w:val="0"/>
      <w:snapToGrid/>
      <w:color w:val="2F5496"/>
      <w:kern w:val="0"/>
    </w:rPr>
  </w:style>
  <w:style w:type="paragraph" w:styleId="TOC1">
    <w:name w:val="toc 1"/>
    <w:basedOn w:val="Normal"/>
    <w:next w:val="Normal"/>
    <w:autoRedefine/>
    <w:uiPriority w:val="39"/>
    <w:unhideWhenUsed/>
    <w:rsid w:val="005B349B"/>
  </w:style>
  <w:style w:type="paragraph" w:styleId="TOC2">
    <w:name w:val="toc 2"/>
    <w:basedOn w:val="Normal"/>
    <w:next w:val="Normal"/>
    <w:autoRedefine/>
    <w:uiPriority w:val="39"/>
    <w:unhideWhenUsed/>
    <w:rsid w:val="005B349B"/>
    <w:pPr>
      <w:ind w:left="240"/>
    </w:pPr>
  </w:style>
  <w:style w:type="character" w:styleId="CommentReference">
    <w:name w:val="annotation reference"/>
    <w:basedOn w:val="DefaultParagraphFont"/>
    <w:uiPriority w:val="99"/>
    <w:semiHidden/>
    <w:unhideWhenUsed/>
    <w:rsid w:val="00277F1F"/>
    <w:rPr>
      <w:sz w:val="16"/>
      <w:szCs w:val="16"/>
    </w:rPr>
  </w:style>
  <w:style w:type="paragraph" w:styleId="CommentText">
    <w:name w:val="annotation text"/>
    <w:basedOn w:val="Normal"/>
    <w:link w:val="CommentTextChar"/>
    <w:uiPriority w:val="99"/>
    <w:unhideWhenUsed/>
    <w:rsid w:val="00277F1F"/>
    <w:rPr>
      <w:sz w:val="20"/>
    </w:rPr>
  </w:style>
  <w:style w:type="character" w:customStyle="1" w:styleId="CommentTextChar">
    <w:name w:val="Comment Text Char"/>
    <w:basedOn w:val="DefaultParagraphFont"/>
    <w:link w:val="CommentText"/>
    <w:uiPriority w:val="99"/>
    <w:rsid w:val="00277F1F"/>
    <w:rPr>
      <w:rFonts w:ascii="Arial" w:eastAsia="Times New Roman" w:hAnsi="Arial"/>
      <w:snapToGrid w:val="0"/>
      <w:lang w:val="en-US" w:eastAsia="en-US"/>
    </w:rPr>
  </w:style>
  <w:style w:type="paragraph" w:styleId="CommentSubject">
    <w:name w:val="annotation subject"/>
    <w:basedOn w:val="CommentText"/>
    <w:next w:val="CommentText"/>
    <w:link w:val="CommentSubjectChar"/>
    <w:uiPriority w:val="99"/>
    <w:semiHidden/>
    <w:unhideWhenUsed/>
    <w:rsid w:val="00277F1F"/>
    <w:rPr>
      <w:b/>
      <w:bCs/>
    </w:rPr>
  </w:style>
  <w:style w:type="character" w:customStyle="1" w:styleId="CommentSubjectChar">
    <w:name w:val="Comment Subject Char"/>
    <w:basedOn w:val="CommentTextChar"/>
    <w:link w:val="CommentSubject"/>
    <w:uiPriority w:val="99"/>
    <w:semiHidden/>
    <w:rsid w:val="00277F1F"/>
    <w:rPr>
      <w:rFonts w:ascii="Arial" w:eastAsia="Times New Roman" w:hAnsi="Arial"/>
      <w:b/>
      <w:bCs/>
      <w:snapToGrid w:val="0"/>
      <w:lang w:val="en-US" w:eastAsia="en-US"/>
    </w:rPr>
  </w:style>
  <w:style w:type="paragraph" w:styleId="Revision">
    <w:name w:val="Revision"/>
    <w:hidden/>
    <w:uiPriority w:val="99"/>
    <w:semiHidden/>
    <w:rsid w:val="00077BF6"/>
    <w:rPr>
      <w:rFonts w:ascii="Arial" w:eastAsia="Times New Roman" w:hAnsi="Arial"/>
      <w:snapToGrid w:val="0"/>
      <w:sz w:val="24"/>
      <w:lang w:val="en-US" w:eastAsia="en-US"/>
    </w:rPr>
  </w:style>
  <w:style w:type="paragraph" w:styleId="NoSpacing">
    <w:name w:val="No Spacing"/>
    <w:uiPriority w:val="1"/>
    <w:qFormat/>
    <w:rsid w:val="00C66EF1"/>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8632CE"/>
    <w:pPr>
      <w:spacing w:before="280" w:after="0" w:line="360" w:lineRule="auto"/>
      <w:ind w:left="720"/>
      <w:contextualSpacing/>
    </w:pPr>
    <w:rPr>
      <w:rFonts w:eastAsiaTheme="minorHAnsi" w:cstheme="minorBidi"/>
      <w:snapToGrid/>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88647">
      <w:bodyDiv w:val="1"/>
      <w:marLeft w:val="0"/>
      <w:marRight w:val="0"/>
      <w:marTop w:val="0"/>
      <w:marBottom w:val="0"/>
      <w:divBdr>
        <w:top w:val="none" w:sz="0" w:space="0" w:color="auto"/>
        <w:left w:val="none" w:sz="0" w:space="0" w:color="auto"/>
        <w:bottom w:val="none" w:sz="0" w:space="0" w:color="auto"/>
        <w:right w:val="none" w:sz="0" w:space="0" w:color="auto"/>
      </w:divBdr>
    </w:div>
    <w:div w:id="773984014">
      <w:bodyDiv w:val="1"/>
      <w:marLeft w:val="0"/>
      <w:marRight w:val="0"/>
      <w:marTop w:val="0"/>
      <w:marBottom w:val="0"/>
      <w:divBdr>
        <w:top w:val="none" w:sz="0" w:space="0" w:color="auto"/>
        <w:left w:val="none" w:sz="0" w:space="0" w:color="auto"/>
        <w:bottom w:val="none" w:sz="0" w:space="0" w:color="auto"/>
        <w:right w:val="none" w:sz="0" w:space="0" w:color="auto"/>
      </w:divBdr>
      <w:divsChild>
        <w:div w:id="2923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181158">
              <w:marLeft w:val="0"/>
              <w:marRight w:val="0"/>
              <w:marTop w:val="0"/>
              <w:marBottom w:val="0"/>
              <w:divBdr>
                <w:top w:val="none" w:sz="0" w:space="0" w:color="auto"/>
                <w:left w:val="none" w:sz="0" w:space="0" w:color="auto"/>
                <w:bottom w:val="none" w:sz="0" w:space="0" w:color="auto"/>
                <w:right w:val="none" w:sz="0" w:space="0" w:color="auto"/>
              </w:divBdr>
              <w:divsChild>
                <w:div w:id="88163609">
                  <w:marLeft w:val="0"/>
                  <w:marRight w:val="0"/>
                  <w:marTop w:val="0"/>
                  <w:marBottom w:val="0"/>
                  <w:divBdr>
                    <w:top w:val="none" w:sz="0" w:space="0" w:color="auto"/>
                    <w:left w:val="none" w:sz="0" w:space="0" w:color="auto"/>
                    <w:bottom w:val="none" w:sz="0" w:space="0" w:color="auto"/>
                    <w:right w:val="none" w:sz="0" w:space="0" w:color="auto"/>
                  </w:divBdr>
                  <w:divsChild>
                    <w:div w:id="535384767">
                      <w:marLeft w:val="0"/>
                      <w:marRight w:val="0"/>
                      <w:marTop w:val="0"/>
                      <w:marBottom w:val="0"/>
                      <w:divBdr>
                        <w:top w:val="none" w:sz="0" w:space="0" w:color="auto"/>
                        <w:left w:val="none" w:sz="0" w:space="0" w:color="auto"/>
                        <w:bottom w:val="none" w:sz="0" w:space="0" w:color="auto"/>
                        <w:right w:val="none" w:sz="0" w:space="0" w:color="auto"/>
                      </w:divBdr>
                      <w:divsChild>
                        <w:div w:id="403375115">
                          <w:marLeft w:val="0"/>
                          <w:marRight w:val="0"/>
                          <w:marTop w:val="0"/>
                          <w:marBottom w:val="0"/>
                          <w:divBdr>
                            <w:top w:val="none" w:sz="0" w:space="0" w:color="auto"/>
                            <w:left w:val="none" w:sz="0" w:space="0" w:color="auto"/>
                            <w:bottom w:val="none" w:sz="0" w:space="0" w:color="auto"/>
                            <w:right w:val="none" w:sz="0" w:space="0" w:color="auto"/>
                          </w:divBdr>
                          <w:divsChild>
                            <w:div w:id="1712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4136">
      <w:bodyDiv w:val="1"/>
      <w:marLeft w:val="0"/>
      <w:marRight w:val="0"/>
      <w:marTop w:val="0"/>
      <w:marBottom w:val="0"/>
      <w:divBdr>
        <w:top w:val="none" w:sz="0" w:space="0" w:color="auto"/>
        <w:left w:val="none" w:sz="0" w:space="0" w:color="auto"/>
        <w:bottom w:val="none" w:sz="0" w:space="0" w:color="auto"/>
        <w:right w:val="none" w:sz="0" w:space="0" w:color="auto"/>
      </w:divBdr>
    </w:div>
    <w:div w:id="1870757681">
      <w:bodyDiv w:val="1"/>
      <w:marLeft w:val="0"/>
      <w:marRight w:val="0"/>
      <w:marTop w:val="0"/>
      <w:marBottom w:val="0"/>
      <w:divBdr>
        <w:top w:val="none" w:sz="0" w:space="0" w:color="auto"/>
        <w:left w:val="none" w:sz="0" w:space="0" w:color="auto"/>
        <w:bottom w:val="none" w:sz="0" w:space="0" w:color="auto"/>
        <w:right w:val="none" w:sz="0" w:space="0" w:color="auto"/>
      </w:divBdr>
    </w:div>
    <w:div w:id="20045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1A66-4823-48C8-AB16-1AD60A1755C0}">
  <ds:schemaRefs>
    <ds:schemaRef ds:uri="http://schemas.microsoft.com/sharepoint/v3/contenttype/forms"/>
  </ds:schemaRefs>
</ds:datastoreItem>
</file>

<file path=customXml/itemProps2.xml><?xml version="1.0" encoding="utf-8"?>
<ds:datastoreItem xmlns:ds="http://schemas.openxmlformats.org/officeDocument/2006/customXml" ds:itemID="{0082B3F6-919C-49EC-A418-15AD34F34A81}">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531EAA2-F024-40FB-A601-65096CED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F651B-59C6-4AF0-BC03-CA83EED9415B}">
  <ds:schemaRefs>
    <ds:schemaRef ds:uri="http://schemas.microsoft.com/office/2006/metadata/longProperties"/>
  </ds:schemaRefs>
</ds:datastoreItem>
</file>

<file path=customXml/itemProps5.xml><?xml version="1.0" encoding="utf-8"?>
<ds:datastoreItem xmlns:ds="http://schemas.openxmlformats.org/officeDocument/2006/customXml" ds:itemID="{2CE2F047-F83D-4FEA-BB46-4D2D18F9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3316</Words>
  <Characters>18903</Characters>
  <Application>Microsoft Office Word</Application>
  <DocSecurity>0</DocSecurity>
  <Lines>157</Lines>
  <Paragraphs>44</Paragraphs>
  <ScaleCrop>false</ScaleCrop>
  <Company>Kingston University</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Bernadette</dc:creator>
  <cp:keywords/>
  <cp:lastModifiedBy>Corcoran, Linda</cp:lastModifiedBy>
  <cp:revision>406</cp:revision>
  <cp:lastPrinted>2022-03-15T11:10:00Z</cp:lastPrinted>
  <dcterms:created xsi:type="dcterms:W3CDTF">2022-08-18T14:26:00Z</dcterms:created>
  <dcterms:modified xsi:type="dcterms:W3CDTF">2025-07-18T11:54:00Z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KU02390@kingston.ac.uk</vt:lpwstr>
  </property>
  <property fmtid="{D5CDD505-2E9C-101B-9397-08002B2CF9AE}" pid="7" name="MSIP_Label_3b551598-29da-492a-8b9f-8358cd43dd03_SetDate">
    <vt:lpwstr>2021-11-26T15:31:54.2783196Z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d58dd75b-2e7d-481c-bfce-95fa92fa545e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