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46EE" w14:textId="77777777" w:rsidR="00265D81" w:rsidRDefault="00265D81" w:rsidP="00D97890">
      <w:pPr>
        <w:pStyle w:val="Heading1"/>
        <w:jc w:val="center"/>
      </w:pPr>
    </w:p>
    <w:p w14:paraId="3F509FD3" w14:textId="77777777" w:rsidR="00265D81" w:rsidRDefault="00265D81" w:rsidP="00D97890">
      <w:pPr>
        <w:pStyle w:val="Heading1"/>
        <w:jc w:val="center"/>
      </w:pPr>
    </w:p>
    <w:p w14:paraId="71AA383A" w14:textId="77777777" w:rsidR="00265D81" w:rsidRDefault="00265D81" w:rsidP="00D97890">
      <w:pPr>
        <w:pStyle w:val="Heading1"/>
        <w:jc w:val="center"/>
      </w:pPr>
    </w:p>
    <w:p w14:paraId="1587C4BE" w14:textId="1310416A" w:rsidR="008D5268" w:rsidRDefault="00A9017B" w:rsidP="00D97890">
      <w:pPr>
        <w:pStyle w:val="Heading1"/>
        <w:jc w:val="center"/>
      </w:pPr>
      <w:r>
        <w:t>Guidance</w:t>
      </w:r>
      <w:r>
        <w:rPr>
          <w:spacing w:val="-2"/>
        </w:rPr>
        <w:t xml:space="preserve"> </w:t>
      </w:r>
      <w:r>
        <w:t>IG(i)</w:t>
      </w:r>
    </w:p>
    <w:p w14:paraId="1587C4C0" w14:textId="59C7BD1E" w:rsidR="008D5268" w:rsidRDefault="00A9017B" w:rsidP="00D97890">
      <w:pPr>
        <w:pStyle w:val="Heading1"/>
        <w:jc w:val="center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faculties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departments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examining</w:t>
      </w:r>
      <w:r>
        <w:rPr>
          <w:spacing w:val="-7"/>
        </w:rPr>
        <w:t xml:space="preserve"> </w:t>
      </w:r>
      <w:r>
        <w:t>process</w:t>
      </w:r>
    </w:p>
    <w:p w14:paraId="5EAF0A0E" w14:textId="7C2192F9" w:rsidR="00265D81" w:rsidRDefault="00265D81" w:rsidP="00265D81"/>
    <w:p w14:paraId="75C91389" w14:textId="589435E6" w:rsidR="6445A77E" w:rsidRDefault="6445A77E" w:rsidP="202A9603"/>
    <w:p w14:paraId="2F105D22" w14:textId="21D1B2CD" w:rsidR="00265D81" w:rsidRDefault="00265D81" w:rsidP="00265D81"/>
    <w:p w14:paraId="04C526F6" w14:textId="1A745F98" w:rsidR="00265D81" w:rsidRDefault="00265D81" w:rsidP="00265D81"/>
    <w:p w14:paraId="7D8414D8" w14:textId="4F209F60" w:rsidR="00265D81" w:rsidRDefault="00265D81" w:rsidP="00265D81"/>
    <w:p w14:paraId="318EF7EC" w14:textId="54C9EE9A" w:rsidR="00265D81" w:rsidRDefault="00265D81" w:rsidP="00265D81"/>
    <w:p w14:paraId="61D369ED" w14:textId="06939D17" w:rsidR="00265D81" w:rsidRDefault="00265D81" w:rsidP="00265D81"/>
    <w:p w14:paraId="67FE35B9" w14:textId="1E5FE728" w:rsidR="00265D81" w:rsidRDefault="00265D81" w:rsidP="00265D81"/>
    <w:p w14:paraId="134FD87E" w14:textId="77777777" w:rsidR="005C00DF" w:rsidRDefault="005C00DF" w:rsidP="00265D81"/>
    <w:p w14:paraId="6CF81DD6" w14:textId="77777777" w:rsidR="005C00DF" w:rsidRDefault="005C00DF" w:rsidP="00265D81"/>
    <w:p w14:paraId="55727966" w14:textId="77777777" w:rsidR="005C00DF" w:rsidRDefault="005C00DF" w:rsidP="00265D81"/>
    <w:p w14:paraId="4C55E8DE" w14:textId="77777777" w:rsidR="005C00DF" w:rsidRDefault="005C00DF" w:rsidP="00265D81"/>
    <w:p w14:paraId="1C817CC1" w14:textId="77777777" w:rsidR="005C00DF" w:rsidRDefault="005C00DF" w:rsidP="00265D81"/>
    <w:p w14:paraId="2C9687F7" w14:textId="77777777" w:rsidR="005C00DF" w:rsidRDefault="005C00DF" w:rsidP="00265D81"/>
    <w:p w14:paraId="44C69243" w14:textId="77777777" w:rsidR="005C00DF" w:rsidRDefault="005C00DF" w:rsidP="00265D81"/>
    <w:p w14:paraId="0ECC9336" w14:textId="77777777" w:rsidR="005C00DF" w:rsidRDefault="005C00DF" w:rsidP="00265D81"/>
    <w:p w14:paraId="4D5F9B61" w14:textId="77777777" w:rsidR="005C00DF" w:rsidRDefault="005C00DF" w:rsidP="00265D81"/>
    <w:p w14:paraId="162D27CD" w14:textId="77777777" w:rsidR="005C00DF" w:rsidRDefault="005C00DF" w:rsidP="00265D81"/>
    <w:p w14:paraId="771270B3" w14:textId="77777777" w:rsidR="005C00DF" w:rsidRDefault="005C00DF" w:rsidP="00AB4E18">
      <w:pPr>
        <w:ind w:left="142"/>
      </w:pPr>
    </w:p>
    <w:p w14:paraId="3BDC5CFD" w14:textId="77777777" w:rsidR="00265D81" w:rsidRPr="00265D81" w:rsidRDefault="00265D81" w:rsidP="00001333">
      <w:pPr>
        <w:jc w:val="center"/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4678"/>
        <w:gridCol w:w="4536"/>
      </w:tblGrid>
      <w:tr w:rsidR="008D5268" w14:paraId="1587C4C5" w14:textId="77777777" w:rsidTr="6E7F5FA0">
        <w:trPr>
          <w:trHeight w:val="272"/>
          <w:tblHeader/>
        </w:trPr>
        <w:tc>
          <w:tcPr>
            <w:tcW w:w="2093" w:type="dxa"/>
          </w:tcPr>
          <w:p w14:paraId="1587C4C1" w14:textId="77777777" w:rsidR="008D5268" w:rsidRDefault="008D5268" w:rsidP="202A960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87C4C2" w14:textId="77777777" w:rsidR="008D5268" w:rsidRDefault="00A9017B" w:rsidP="202A9603">
            <w:pPr>
              <w:pStyle w:val="TableParagraph"/>
              <w:spacing w:line="253" w:lineRule="exact"/>
              <w:rPr>
                <w:b/>
                <w:bCs/>
              </w:rPr>
            </w:pPr>
            <w:r w:rsidRPr="202A9603">
              <w:rPr>
                <w:b/>
                <w:bCs/>
              </w:rPr>
              <w:t>School/Department</w:t>
            </w:r>
          </w:p>
        </w:tc>
        <w:tc>
          <w:tcPr>
            <w:tcW w:w="4678" w:type="dxa"/>
          </w:tcPr>
          <w:p w14:paraId="1587C4C3" w14:textId="604AEBC0" w:rsidR="008D5268" w:rsidRDefault="6C210118" w:rsidP="202A9603">
            <w:pPr>
              <w:pStyle w:val="TableParagraph"/>
              <w:spacing w:line="253" w:lineRule="exact"/>
              <w:rPr>
                <w:b/>
                <w:bCs/>
              </w:rPr>
            </w:pPr>
            <w:r w:rsidRPr="202A9603">
              <w:rPr>
                <w:b/>
                <w:bCs/>
              </w:rPr>
              <w:t>QAE (Quality Assurance and Enhancement)</w:t>
            </w:r>
          </w:p>
        </w:tc>
        <w:tc>
          <w:tcPr>
            <w:tcW w:w="4536" w:type="dxa"/>
          </w:tcPr>
          <w:p w14:paraId="1587C4C4" w14:textId="1CBD7A81" w:rsidR="008D5268" w:rsidRDefault="00DE5A4D" w:rsidP="202A9603">
            <w:pPr>
              <w:pStyle w:val="TableParagraph"/>
              <w:spacing w:line="253" w:lineRule="exact"/>
              <w:rPr>
                <w:b/>
                <w:bCs/>
              </w:rPr>
            </w:pPr>
            <w:r w:rsidRPr="202A9603">
              <w:rPr>
                <w:b/>
                <w:bCs/>
              </w:rPr>
              <w:t>Faculty</w:t>
            </w:r>
          </w:p>
        </w:tc>
      </w:tr>
      <w:tr w:rsidR="008D5268" w14:paraId="1587C4CB" w14:textId="77777777" w:rsidTr="6E7F5FA0">
        <w:trPr>
          <w:trHeight w:val="1108"/>
        </w:trPr>
        <w:tc>
          <w:tcPr>
            <w:tcW w:w="2093" w:type="dxa"/>
          </w:tcPr>
          <w:p w14:paraId="1587C4C6" w14:textId="53481F56" w:rsidR="008D5268" w:rsidRDefault="00A9017B" w:rsidP="00AB4E18">
            <w:pPr>
              <w:pStyle w:val="TableParagraph"/>
              <w:spacing w:line="271" w:lineRule="exact"/>
              <w:ind w:left="0"/>
            </w:pPr>
            <w:r>
              <w:t>Appointment</w:t>
            </w:r>
            <w:r w:rsidR="00850031">
              <w:t xml:space="preserve"> of Subject external examiner</w:t>
            </w:r>
            <w:r w:rsidR="004C3342">
              <w:t xml:space="preserve"> (EE)</w:t>
            </w:r>
          </w:p>
        </w:tc>
        <w:tc>
          <w:tcPr>
            <w:tcW w:w="4394" w:type="dxa"/>
          </w:tcPr>
          <w:p w14:paraId="1587C4C7" w14:textId="0CCCDFC9" w:rsidR="008D5268" w:rsidRDefault="00A9017B" w:rsidP="6445A77E">
            <w:pPr>
              <w:pStyle w:val="TableParagraph"/>
              <w:spacing w:line="260" w:lineRule="exact"/>
            </w:pPr>
            <w:r>
              <w:t xml:space="preserve">Nominates </w:t>
            </w:r>
            <w:r w:rsidR="00EA7049" w:rsidRPr="0086104A">
              <w:t>subject</w:t>
            </w:r>
            <w:r w:rsidR="00EA7049">
              <w:t xml:space="preserve"> </w:t>
            </w:r>
            <w:r>
              <w:t>external examiners</w:t>
            </w:r>
            <w:r w:rsidR="0086104A">
              <w:t xml:space="preserve"> </w:t>
            </w:r>
            <w:r>
              <w:t>having checked against the</w:t>
            </w:r>
            <w:r>
              <w:rPr>
                <w:spacing w:val="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criteria</w:t>
            </w:r>
            <w:r w:rsidR="00D63F28">
              <w:t>.</w:t>
            </w:r>
          </w:p>
        </w:tc>
        <w:tc>
          <w:tcPr>
            <w:tcW w:w="4678" w:type="dxa"/>
          </w:tcPr>
          <w:p w14:paraId="4188791B" w14:textId="1F105FB7" w:rsidR="00CB4779" w:rsidRDefault="004B6F64" w:rsidP="6445A77E">
            <w:pPr>
              <w:pStyle w:val="TableParagraph"/>
              <w:spacing w:line="260" w:lineRule="exact"/>
            </w:pPr>
            <w:r>
              <w:t>S</w:t>
            </w:r>
            <w:r w:rsidR="00CB4779">
              <w:t>crutinises nomination against criteria and approves or rejects</w:t>
            </w:r>
          </w:p>
          <w:p w14:paraId="1587C4C8" w14:textId="6649CD0C" w:rsidR="008D5268" w:rsidRDefault="00F24C3F" w:rsidP="6445A77E">
            <w:pPr>
              <w:pStyle w:val="TableParagraph"/>
              <w:spacing w:line="260" w:lineRule="exact"/>
            </w:pPr>
            <w:r>
              <w:t>n</w:t>
            </w:r>
            <w:r w:rsidR="00CB4779">
              <w:t>omination</w:t>
            </w:r>
            <w:r w:rsidR="00D63F28">
              <w:t>.</w:t>
            </w:r>
          </w:p>
        </w:tc>
        <w:tc>
          <w:tcPr>
            <w:tcW w:w="4536" w:type="dxa"/>
          </w:tcPr>
          <w:p w14:paraId="1587C4CA" w14:textId="5234B863" w:rsidR="008D5268" w:rsidRDefault="004C3342">
            <w:pPr>
              <w:pStyle w:val="TableParagraph"/>
              <w:spacing w:line="260" w:lineRule="exact"/>
            </w:pPr>
            <w:r>
              <w:t>Deputy Dean (or their nominee)</w:t>
            </w:r>
            <w:r w:rsidR="00814E95">
              <w:t xml:space="preserve"> </w:t>
            </w:r>
            <w:r w:rsidR="00CB4779">
              <w:t>recommends</w:t>
            </w:r>
            <w:r w:rsidR="00CB4779">
              <w:rPr>
                <w:spacing w:val="-2"/>
              </w:rPr>
              <w:t xml:space="preserve"> </w:t>
            </w:r>
            <w:r w:rsidR="00CB4779">
              <w:t>nomination</w:t>
            </w:r>
            <w:r w:rsidR="00CB4779">
              <w:rPr>
                <w:spacing w:val="-2"/>
              </w:rPr>
              <w:t xml:space="preserve"> </w:t>
            </w:r>
            <w:r w:rsidR="00CB4779">
              <w:t>for</w:t>
            </w:r>
            <w:r w:rsidR="00CB4779">
              <w:rPr>
                <w:spacing w:val="-1"/>
              </w:rPr>
              <w:t xml:space="preserve"> </w:t>
            </w:r>
            <w:r w:rsidR="00CB4779">
              <w:t>approval</w:t>
            </w:r>
            <w:r w:rsidR="00CB4779">
              <w:rPr>
                <w:spacing w:val="-6"/>
              </w:rPr>
              <w:t xml:space="preserve"> </w:t>
            </w:r>
            <w:r w:rsidR="00CB4779">
              <w:t>by</w:t>
            </w:r>
            <w:r w:rsidR="00CB4779">
              <w:rPr>
                <w:spacing w:val="-2"/>
              </w:rPr>
              <w:t xml:space="preserve"> </w:t>
            </w:r>
            <w:r w:rsidR="00CB4779">
              <w:t>QAE</w:t>
            </w:r>
            <w:r w:rsidR="00D63F28">
              <w:t>.</w:t>
            </w:r>
          </w:p>
        </w:tc>
      </w:tr>
      <w:tr w:rsidR="00250D2A" w14:paraId="25BF4362" w14:textId="77777777" w:rsidTr="6E7F5FA0">
        <w:trPr>
          <w:trHeight w:val="1108"/>
        </w:trPr>
        <w:tc>
          <w:tcPr>
            <w:tcW w:w="2093" w:type="dxa"/>
          </w:tcPr>
          <w:p w14:paraId="1168D307" w14:textId="18DD89D4" w:rsidR="00250D2A" w:rsidRDefault="00250D2A" w:rsidP="00F65EAA">
            <w:pPr>
              <w:pStyle w:val="TableParagraph"/>
              <w:spacing w:line="271" w:lineRule="exact"/>
              <w:ind w:left="0"/>
            </w:pPr>
            <w:r>
              <w:t>Appointment</w:t>
            </w:r>
            <w:r w:rsidR="00850031">
              <w:t xml:space="preserve"> of Programme Assessment Board</w:t>
            </w:r>
            <w:r w:rsidR="00D63F28">
              <w:t>/ Higher &amp; Degree Apprenticeship</w:t>
            </w:r>
            <w:r w:rsidR="00850031">
              <w:t xml:space="preserve"> external examiner </w:t>
            </w:r>
          </w:p>
        </w:tc>
        <w:tc>
          <w:tcPr>
            <w:tcW w:w="4394" w:type="dxa"/>
          </w:tcPr>
          <w:p w14:paraId="7D745FE6" w14:textId="6BA755E3" w:rsidR="00250D2A" w:rsidRDefault="00250D2A" w:rsidP="00250D2A">
            <w:pPr>
              <w:pStyle w:val="TableParagraph"/>
              <w:ind w:right="675"/>
            </w:pPr>
          </w:p>
        </w:tc>
        <w:tc>
          <w:tcPr>
            <w:tcW w:w="4678" w:type="dxa"/>
          </w:tcPr>
          <w:p w14:paraId="748FE8C5" w14:textId="06EE5ADA" w:rsidR="00CB4779" w:rsidRDefault="00CB4779" w:rsidP="6445A77E">
            <w:pPr>
              <w:pStyle w:val="TableParagraph"/>
              <w:spacing w:line="260" w:lineRule="exact"/>
            </w:pPr>
            <w:r>
              <w:t xml:space="preserve">Nominates </w:t>
            </w:r>
            <w:bookmarkStart w:id="0" w:name="_Int_aijCZyU8"/>
            <w:r w:rsidR="44208BD9">
              <w:t>PAB</w:t>
            </w:r>
            <w:bookmarkEnd w:id="0"/>
            <w:r w:rsidR="00F24C3F">
              <w:t xml:space="preserve">/ </w:t>
            </w:r>
            <w:bookmarkStart w:id="1" w:name="_Int_C3aJATmb"/>
            <w:r w:rsidR="00F24C3F">
              <w:t>HDA</w:t>
            </w:r>
            <w:bookmarkEnd w:id="1"/>
            <w:r>
              <w:t xml:space="preserve"> external examiners having checked against the appointment criteria. QAE scrutinises nomination against criteria and approves or rejects nomination</w:t>
            </w:r>
            <w:r w:rsidR="00D63F28">
              <w:t>.</w:t>
            </w:r>
          </w:p>
        </w:tc>
        <w:tc>
          <w:tcPr>
            <w:tcW w:w="4536" w:type="dxa"/>
          </w:tcPr>
          <w:p w14:paraId="4FE1D543" w14:textId="5F61B84A" w:rsidR="00250D2A" w:rsidRDefault="00250D2A" w:rsidP="00250D2A">
            <w:pPr>
              <w:pStyle w:val="TableParagraph"/>
              <w:ind w:right="126"/>
            </w:pPr>
          </w:p>
        </w:tc>
      </w:tr>
      <w:tr w:rsidR="00250D2A" w14:paraId="1587C4D8" w14:textId="77777777" w:rsidTr="6E7F5FA0">
        <w:trPr>
          <w:trHeight w:val="3100"/>
        </w:trPr>
        <w:tc>
          <w:tcPr>
            <w:tcW w:w="2093" w:type="dxa"/>
          </w:tcPr>
          <w:p w14:paraId="1587C4D1" w14:textId="4B927DB0" w:rsidR="00250D2A" w:rsidRDefault="00250D2A" w:rsidP="00F65EAA">
            <w:pPr>
              <w:pStyle w:val="TableParagraph"/>
              <w:spacing w:line="271" w:lineRule="exact"/>
              <w:ind w:left="0"/>
            </w:pPr>
            <w:r>
              <w:t>Induction</w:t>
            </w:r>
            <w:r w:rsidR="00B67F89">
              <w:t xml:space="preserve"> of Subject </w:t>
            </w:r>
            <w:r w:rsidR="0CCE8E80">
              <w:t xml:space="preserve">EE </w:t>
            </w:r>
          </w:p>
        </w:tc>
        <w:tc>
          <w:tcPr>
            <w:tcW w:w="4394" w:type="dxa"/>
          </w:tcPr>
          <w:p w14:paraId="1587C4D2" w14:textId="77777777" w:rsidR="00250D2A" w:rsidRDefault="00250D2A" w:rsidP="00250D2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line="292" w:lineRule="exact"/>
              <w:ind w:hanging="361"/>
            </w:pPr>
            <w:r>
              <w:t>Arranges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induction.</w:t>
            </w:r>
          </w:p>
          <w:p w14:paraId="342DBEA4" w14:textId="35DB8614" w:rsidR="00CE1479" w:rsidRDefault="002653F2" w:rsidP="00CE1479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line="292" w:lineRule="exact"/>
              <w:ind w:hanging="361"/>
            </w:pPr>
            <w:r>
              <w:t>Discusses and agrees an annual schedule of work</w:t>
            </w:r>
            <w:r w:rsidR="00B93028">
              <w:t xml:space="preserve"> with the external examiner.</w:t>
            </w:r>
          </w:p>
          <w:p w14:paraId="1587C4D3" w14:textId="4DECACF7" w:rsidR="00250D2A" w:rsidRDefault="00CE1479" w:rsidP="00250D2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4" w:line="235" w:lineRule="auto"/>
              <w:ind w:right="866"/>
            </w:pPr>
            <w:r>
              <w:t xml:space="preserve">Signposts external examiner to </w:t>
            </w:r>
            <w:r w:rsidR="004C3342">
              <w:t xml:space="preserve">course </w:t>
            </w:r>
            <w:r w:rsidR="00250D2A">
              <w:t>/module</w:t>
            </w:r>
            <w:r w:rsidR="00250D2A">
              <w:rPr>
                <w:spacing w:val="-64"/>
              </w:rPr>
              <w:t xml:space="preserve"> </w:t>
            </w:r>
            <w:r w:rsidR="00250D2A">
              <w:t>documentation.</w:t>
            </w:r>
          </w:p>
          <w:p w14:paraId="1587C4D5" w14:textId="23AE8741" w:rsidR="00250D2A" w:rsidRDefault="00250D2A" w:rsidP="00250D2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5" w:line="237" w:lineRule="auto"/>
              <w:ind w:right="505"/>
            </w:pPr>
            <w:r>
              <w:t>Liaises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external re:</w:t>
            </w:r>
            <w:r>
              <w:rPr>
                <w:spacing w:val="-3"/>
              </w:rPr>
              <w:t xml:space="preserve"> </w:t>
            </w:r>
            <w:r>
              <w:t>input to assessment</w:t>
            </w:r>
            <w:r>
              <w:rPr>
                <w:spacing w:val="1"/>
              </w:rPr>
              <w:t xml:space="preserve"> </w:t>
            </w:r>
            <w:r>
              <w:t>process/</w:t>
            </w:r>
            <w:r w:rsidR="005754AB">
              <w:t xml:space="preserve"> </w:t>
            </w:r>
            <w:r>
              <w:t>dates of</w:t>
            </w:r>
            <w:r>
              <w:rPr>
                <w:spacing w:val="1"/>
              </w:rPr>
              <w:t xml:space="preserve"> </w:t>
            </w:r>
            <w:r>
              <w:t>meetings/</w:t>
            </w:r>
            <w:r w:rsidR="005754AB">
              <w:t xml:space="preserve"> </w:t>
            </w:r>
            <w:r w:rsidR="00F151E2">
              <w:t>course</w:t>
            </w:r>
            <w:r w:rsidR="00F151E2" w:rsidDel="00F151E2">
              <w:t xml:space="preserve"> </w:t>
            </w:r>
            <w:r w:rsidR="005754AB">
              <w:t xml:space="preserve">and </w:t>
            </w:r>
            <w:r>
              <w:t>m</w:t>
            </w:r>
            <w:r w:rsidR="005754AB">
              <w:t>o</w:t>
            </w:r>
            <w:r>
              <w:t>dule level</w:t>
            </w:r>
            <w:r>
              <w:rPr>
                <w:spacing w:val="1"/>
              </w:rPr>
              <w:t xml:space="preserve"> </w:t>
            </w:r>
            <w:r>
              <w:t>information.</w:t>
            </w:r>
          </w:p>
        </w:tc>
        <w:tc>
          <w:tcPr>
            <w:tcW w:w="4678" w:type="dxa"/>
          </w:tcPr>
          <w:p w14:paraId="73E808D6" w14:textId="149C928F" w:rsidR="00250D2A" w:rsidRDefault="004B6F64" w:rsidP="202A9603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555"/>
              <w:rPr>
                <w:rFonts w:asciiTheme="minorHAnsi" w:eastAsiaTheme="minorEastAsia" w:hAnsiTheme="minorHAnsi" w:cstheme="minorBidi"/>
              </w:rPr>
            </w:pPr>
            <w:r>
              <w:t>A</w:t>
            </w:r>
            <w:r w:rsidR="00250D2A">
              <w:t xml:space="preserve">rranges University level induction event </w:t>
            </w:r>
            <w:r w:rsidR="00722CF8">
              <w:t>for</w:t>
            </w:r>
            <w:r w:rsidR="00690E75">
              <w:t xml:space="preserve"> new</w:t>
            </w:r>
            <w:r w:rsidR="00722CF8">
              <w:t xml:space="preserve"> </w:t>
            </w:r>
            <w:r w:rsidR="004A5266">
              <w:rPr>
                <w:spacing w:val="-7"/>
              </w:rPr>
              <w:t xml:space="preserve">Subject </w:t>
            </w:r>
            <w:r w:rsidR="005754AB">
              <w:t>EEs.</w:t>
            </w:r>
          </w:p>
          <w:p w14:paraId="3F4215C4" w14:textId="55AF3829" w:rsidR="00250D2A" w:rsidRDefault="004B6F64" w:rsidP="41C4E96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13" w:line="235" w:lineRule="auto"/>
              <w:ind w:right="742"/>
            </w:pPr>
            <w:r>
              <w:t>S</w:t>
            </w:r>
            <w:r w:rsidR="00250D2A">
              <w:t xml:space="preserve">ends </w:t>
            </w:r>
            <w:r w:rsidR="00F949DE">
              <w:t xml:space="preserve">predecessor’s annual </w:t>
            </w:r>
            <w:r w:rsidR="00250D2A">
              <w:t>report</w:t>
            </w:r>
            <w:r w:rsidR="00802B7C">
              <w:t xml:space="preserve"> to newly appointed </w:t>
            </w:r>
            <w:r w:rsidR="019DAAE2">
              <w:t>EEs (External Examiners)</w:t>
            </w:r>
            <w:r w:rsidR="00250D2A">
              <w:t>.</w:t>
            </w:r>
          </w:p>
          <w:p w14:paraId="0AC9E692" w14:textId="3E0A7049" w:rsidR="00250D2A" w:rsidRDefault="004B6F64" w:rsidP="41C4E96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13" w:line="235" w:lineRule="auto"/>
              <w:ind w:right="742"/>
            </w:pPr>
            <w:r>
              <w:rPr>
                <w:color w:val="000000" w:themeColor="text1"/>
              </w:rPr>
              <w:t>S</w:t>
            </w:r>
            <w:r w:rsidR="41C4E96A" w:rsidRPr="202A9603">
              <w:rPr>
                <w:color w:val="000000" w:themeColor="text1"/>
              </w:rPr>
              <w:t xml:space="preserve">ets up the EE on </w:t>
            </w:r>
            <w:r w:rsidR="0605DC4B" w:rsidRPr="202A9603">
              <w:rPr>
                <w:color w:val="000000" w:themeColor="text1"/>
              </w:rPr>
              <w:t>EERS (External Examiners Reporting System)</w:t>
            </w:r>
            <w:r w:rsidR="41C4E96A" w:rsidRPr="202A9603">
              <w:rPr>
                <w:color w:val="000000" w:themeColor="text1"/>
              </w:rPr>
              <w:t>, issues their contract and appointment letter</w:t>
            </w:r>
            <w:r w:rsidR="00802B7C" w:rsidRPr="202A9603">
              <w:rPr>
                <w:color w:val="000000" w:themeColor="text1"/>
              </w:rPr>
              <w:t>, carries out the right to work check</w:t>
            </w:r>
            <w:r w:rsidR="41C4E96A" w:rsidRPr="202A9603">
              <w:rPr>
                <w:color w:val="000000" w:themeColor="text1"/>
              </w:rPr>
              <w:t xml:space="preserve"> and sets up their access to systems.</w:t>
            </w:r>
          </w:p>
          <w:p w14:paraId="1587C4D6" w14:textId="56BF727D" w:rsidR="00250D2A" w:rsidRDefault="00250D2A" w:rsidP="202A9603">
            <w:pPr>
              <w:pStyle w:val="TableParagraph"/>
              <w:spacing w:line="242" w:lineRule="auto"/>
              <w:ind w:right="555"/>
            </w:pPr>
          </w:p>
        </w:tc>
        <w:tc>
          <w:tcPr>
            <w:tcW w:w="4536" w:type="dxa"/>
          </w:tcPr>
          <w:p w14:paraId="1587C4D7" w14:textId="77777777" w:rsidR="00250D2A" w:rsidRDefault="00250D2A" w:rsidP="00250D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7F89" w14:paraId="4ACA9830" w14:textId="77777777" w:rsidTr="6E7F5FA0">
        <w:trPr>
          <w:trHeight w:val="2001"/>
        </w:trPr>
        <w:tc>
          <w:tcPr>
            <w:tcW w:w="2093" w:type="dxa"/>
          </w:tcPr>
          <w:p w14:paraId="53A7E0D7" w14:textId="7F08FBC0" w:rsidR="00B67F89" w:rsidRDefault="00B67F89" w:rsidP="00F65EAA">
            <w:pPr>
              <w:pStyle w:val="TableParagraph"/>
              <w:spacing w:line="271" w:lineRule="exact"/>
              <w:ind w:left="0"/>
            </w:pPr>
            <w:r>
              <w:lastRenderedPageBreak/>
              <w:t>Induction of PAB</w:t>
            </w:r>
            <w:r w:rsidR="00D63F28">
              <w:t>/ HDA</w:t>
            </w:r>
            <w:r>
              <w:t xml:space="preserve"> EE</w:t>
            </w:r>
          </w:p>
        </w:tc>
        <w:tc>
          <w:tcPr>
            <w:tcW w:w="4394" w:type="dxa"/>
          </w:tcPr>
          <w:p w14:paraId="6A698A98" w14:textId="08FBF6C3" w:rsidR="00B67F89" w:rsidRDefault="00B67F89" w:rsidP="004A5266">
            <w:pPr>
              <w:pStyle w:val="TableParagraph"/>
              <w:tabs>
                <w:tab w:val="left" w:pos="369"/>
                <w:tab w:val="left" w:pos="370"/>
              </w:tabs>
              <w:spacing w:line="292" w:lineRule="exact"/>
            </w:pPr>
          </w:p>
        </w:tc>
        <w:tc>
          <w:tcPr>
            <w:tcW w:w="4678" w:type="dxa"/>
          </w:tcPr>
          <w:p w14:paraId="18EA3682" w14:textId="31826FDF" w:rsidR="00B71BDE" w:rsidRPr="00AA7D10" w:rsidRDefault="004B6F64" w:rsidP="001C0C33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13" w:line="235" w:lineRule="auto"/>
              <w:ind w:right="742"/>
            </w:pPr>
            <w:r>
              <w:t>A</w:t>
            </w:r>
            <w:r w:rsidR="00B71BDE">
              <w:t>rranges University level induction event</w:t>
            </w:r>
            <w:r w:rsidR="00802B7C">
              <w:t>s</w:t>
            </w:r>
            <w:r w:rsidR="00B71BDE">
              <w:t xml:space="preserve"> for new PAB/ HDA External Examiners.</w:t>
            </w:r>
          </w:p>
          <w:p w14:paraId="00243992" w14:textId="740A7F32" w:rsidR="00B71BDE" w:rsidRPr="00AA7D10" w:rsidRDefault="004B6F64" w:rsidP="00B71BDE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70"/>
              </w:tabs>
              <w:spacing w:before="13" w:line="235" w:lineRule="auto"/>
              <w:ind w:right="742"/>
            </w:pPr>
            <w:r>
              <w:rPr>
                <w:color w:val="000000" w:themeColor="text1"/>
              </w:rPr>
              <w:t>S</w:t>
            </w:r>
            <w:r w:rsidR="00B71BDE" w:rsidRPr="202A9603">
              <w:rPr>
                <w:color w:val="000000" w:themeColor="text1"/>
              </w:rPr>
              <w:t>ets up the EE on EERS, issues their contract and appointment letter</w:t>
            </w:r>
            <w:r w:rsidR="00802B7C" w:rsidRPr="202A9603">
              <w:rPr>
                <w:color w:val="000000" w:themeColor="text1"/>
              </w:rPr>
              <w:t>, carries out the right to work check</w:t>
            </w:r>
            <w:r w:rsidR="00B71BDE" w:rsidRPr="202A9603">
              <w:rPr>
                <w:color w:val="000000" w:themeColor="text1"/>
              </w:rPr>
              <w:t xml:space="preserve"> and sets up their access to systems.</w:t>
            </w:r>
          </w:p>
          <w:p w14:paraId="6DF6D809" w14:textId="4F6035CF" w:rsidR="00B71BDE" w:rsidRDefault="00B71BDE" w:rsidP="00B71BDE">
            <w:pPr>
              <w:pStyle w:val="TableParagraph"/>
              <w:spacing w:line="271" w:lineRule="exact"/>
              <w:ind w:left="0"/>
            </w:pPr>
          </w:p>
        </w:tc>
        <w:tc>
          <w:tcPr>
            <w:tcW w:w="4536" w:type="dxa"/>
          </w:tcPr>
          <w:p w14:paraId="31CAC3E9" w14:textId="77777777" w:rsidR="00B67F89" w:rsidRDefault="00B67F89" w:rsidP="00B67F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67F89" w14:paraId="1587C4E3" w14:textId="77777777" w:rsidTr="6E7F5FA0">
        <w:trPr>
          <w:trHeight w:val="1256"/>
        </w:trPr>
        <w:tc>
          <w:tcPr>
            <w:tcW w:w="2093" w:type="dxa"/>
          </w:tcPr>
          <w:p w14:paraId="1587C4D9" w14:textId="5ABB94B0" w:rsidR="00B67F89" w:rsidRDefault="00485D20" w:rsidP="00F65EAA">
            <w:pPr>
              <w:pStyle w:val="TableParagraph"/>
              <w:spacing w:line="271" w:lineRule="exact"/>
              <w:ind w:left="0"/>
            </w:pPr>
            <w:r>
              <w:t xml:space="preserve">Subject </w:t>
            </w:r>
            <w:r w:rsidR="00B67F89">
              <w:t>External</w:t>
            </w:r>
            <w:r w:rsidR="00B67F89">
              <w:rPr>
                <w:spacing w:val="1"/>
              </w:rPr>
              <w:t xml:space="preserve"> </w:t>
            </w:r>
            <w:r w:rsidR="23CB783F">
              <w:t>Examiner report</w:t>
            </w:r>
          </w:p>
        </w:tc>
        <w:tc>
          <w:tcPr>
            <w:tcW w:w="4394" w:type="dxa"/>
          </w:tcPr>
          <w:p w14:paraId="759D6ECD" w14:textId="3AB35DC6" w:rsidR="00EE065A" w:rsidRPr="00E02CB4" w:rsidRDefault="00B67F89" w:rsidP="202A9603">
            <w:pPr>
              <w:pStyle w:val="TableParagraph"/>
              <w:numPr>
                <w:ilvl w:val="0"/>
                <w:numId w:val="3"/>
              </w:numPr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Receives external examiners’</w:t>
            </w:r>
            <w:r w:rsidRPr="00CB3FE8">
              <w:rPr>
                <w:spacing w:val="1"/>
              </w:rPr>
              <w:t xml:space="preserve"> </w:t>
            </w:r>
            <w:r>
              <w:t xml:space="preserve">reports </w:t>
            </w:r>
            <w:r w:rsidR="00574379">
              <w:t>and</w:t>
            </w:r>
            <w:r w:rsidR="00D337E8">
              <w:t xml:space="preserve"> responds </w:t>
            </w:r>
            <w:r w:rsidR="00EE065A">
              <w:t>to any feedback at the annual schedule of work meeting</w:t>
            </w:r>
            <w:r w:rsidR="004F39D4">
              <w:t xml:space="preserve"> or during other contact points</w:t>
            </w:r>
            <w:r w:rsidR="00EE065A">
              <w:t>.</w:t>
            </w:r>
            <w:r w:rsidR="00574379">
              <w:t xml:space="preserve"> </w:t>
            </w:r>
          </w:p>
          <w:p w14:paraId="1587C4DB" w14:textId="50988F44" w:rsidR="00B67F89" w:rsidRDefault="00B67F89" w:rsidP="202A9603">
            <w:pPr>
              <w:pStyle w:val="TableParagraph"/>
              <w:numPr>
                <w:ilvl w:val="0"/>
                <w:numId w:val="3"/>
              </w:numPr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 xml:space="preserve">Reflect on EE report as </w:t>
            </w:r>
            <w:proofErr w:type="gramStart"/>
            <w:r>
              <w:t>part</w:t>
            </w:r>
            <w:r w:rsidR="004F39D4">
              <w:t xml:space="preserve"> </w:t>
            </w:r>
            <w:r w:rsidRPr="00CB3FE8">
              <w:rPr>
                <w:spacing w:val="-64"/>
              </w:rPr>
              <w:t xml:space="preserve"> </w:t>
            </w:r>
            <w:r>
              <w:t>of</w:t>
            </w:r>
            <w:proofErr w:type="gramEnd"/>
            <w:r>
              <w:t xml:space="preserve"> </w:t>
            </w:r>
            <w:r w:rsidR="004F39D4">
              <w:t>KCEP</w:t>
            </w:r>
            <w:r>
              <w:t>.</w:t>
            </w:r>
          </w:p>
          <w:p w14:paraId="1587C4DD" w14:textId="76155BD1" w:rsidR="00B67F89" w:rsidRDefault="00B67F89" w:rsidP="6445A77E">
            <w:pPr>
              <w:pStyle w:val="TableParagraph"/>
              <w:numPr>
                <w:ilvl w:val="0"/>
                <w:numId w:val="3"/>
              </w:numPr>
              <w:spacing w:line="237" w:lineRule="auto"/>
              <w:ind w:right="384"/>
            </w:pPr>
            <w:r>
              <w:t>If</w:t>
            </w:r>
            <w:r w:rsidRPr="00CB3FE8">
              <w:rPr>
                <w:spacing w:val="-2"/>
              </w:rPr>
              <w:t xml:space="preserve"> </w:t>
            </w:r>
            <w:r>
              <w:t>applicable,</w:t>
            </w:r>
            <w:r w:rsidRPr="00CB3FE8">
              <w:rPr>
                <w:spacing w:val="-2"/>
              </w:rPr>
              <w:t xml:space="preserve"> </w:t>
            </w:r>
            <w:r w:rsidR="5F003698">
              <w:t>ULO (University Liaison Officer)</w:t>
            </w:r>
            <w:r w:rsidRPr="00CB3FE8">
              <w:rPr>
                <w:spacing w:val="-2"/>
              </w:rPr>
              <w:t xml:space="preserve"> </w:t>
            </w:r>
            <w:r>
              <w:t>sends</w:t>
            </w:r>
            <w:r w:rsidRPr="00CB3FE8">
              <w:rPr>
                <w:spacing w:val="-1"/>
              </w:rPr>
              <w:t xml:space="preserve"> </w:t>
            </w:r>
            <w:r>
              <w:t>EE</w:t>
            </w:r>
            <w:r w:rsidRPr="00CB3FE8">
              <w:rPr>
                <w:spacing w:val="-4"/>
              </w:rPr>
              <w:t xml:space="preserve"> </w:t>
            </w:r>
            <w:r>
              <w:t>report</w:t>
            </w:r>
            <w:r w:rsidR="00CB3FE8">
              <w:t xml:space="preserve"> </w:t>
            </w:r>
            <w:r>
              <w:t>to collaborative partner and liaises</w:t>
            </w:r>
            <w:r w:rsidR="004F39D4">
              <w:t xml:space="preserve"> </w:t>
            </w:r>
            <w:r w:rsidRPr="00CB3FE8">
              <w:rPr>
                <w:spacing w:val="-64"/>
              </w:rPr>
              <w:t xml:space="preserve"> </w:t>
            </w:r>
            <w:r w:rsidR="004F39D4">
              <w:rPr>
                <w:spacing w:val="-64"/>
              </w:rPr>
              <w:t xml:space="preserve">  </w:t>
            </w:r>
            <w:r>
              <w:t>with</w:t>
            </w:r>
            <w:r w:rsidRPr="00CB3FE8">
              <w:rPr>
                <w:spacing w:val="-2"/>
              </w:rPr>
              <w:t xml:space="preserve"> </w:t>
            </w:r>
            <w:r w:rsidR="30BB690F">
              <w:t>PLO (Partner Liaison Officers)</w:t>
            </w:r>
            <w:r w:rsidRPr="00CB3FE8">
              <w:rPr>
                <w:spacing w:val="-3"/>
              </w:rPr>
              <w:t xml:space="preserve"> </w:t>
            </w:r>
            <w:r>
              <w:t>regarding</w:t>
            </w:r>
            <w:r w:rsidR="004F39D4">
              <w:t xml:space="preserve"> any responses</w:t>
            </w:r>
            <w:r>
              <w:t>.</w:t>
            </w:r>
          </w:p>
        </w:tc>
        <w:tc>
          <w:tcPr>
            <w:tcW w:w="4678" w:type="dxa"/>
          </w:tcPr>
          <w:p w14:paraId="1587C4DE" w14:textId="1969A316" w:rsidR="00B67F89" w:rsidRDefault="001341A6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line="237" w:lineRule="auto"/>
              <w:ind w:right="322"/>
              <w:rPr>
                <w:rFonts w:asciiTheme="minorHAnsi" w:eastAsiaTheme="minorEastAsia" w:hAnsiTheme="minorHAnsi" w:cstheme="minorBidi"/>
              </w:rPr>
            </w:pPr>
            <w:r>
              <w:t>Undertake report checks</w:t>
            </w:r>
            <w:r w:rsidR="00154CE6">
              <w:t xml:space="preserve"> (</w:t>
            </w:r>
            <w:bookmarkStart w:id="2" w:name="_Int_4Yndv26i"/>
            <w:r w:rsidR="00154CE6">
              <w:t>e.g.</w:t>
            </w:r>
            <w:bookmarkEnd w:id="2"/>
            <w:r w:rsidR="00154CE6">
              <w:t xml:space="preserve"> for staff/ student names) and </w:t>
            </w:r>
            <w:r w:rsidR="00BD0A45">
              <w:t>circulates reports to all relevant members of the faculty.</w:t>
            </w:r>
          </w:p>
          <w:p w14:paraId="583E0DEC" w14:textId="1ABAF5D0" w:rsidR="00E14D99" w:rsidRPr="00E14D99" w:rsidRDefault="001341A6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R</w:t>
            </w:r>
            <w:r w:rsidR="00B67F89">
              <w:t>efers</w:t>
            </w:r>
            <w:r w:rsidR="00B67F89">
              <w:rPr>
                <w:spacing w:val="-2"/>
              </w:rPr>
              <w:t xml:space="preserve"> </w:t>
            </w:r>
            <w:r w:rsidR="00B67F89">
              <w:t>serious</w:t>
            </w:r>
            <w:r w:rsidR="00B67F89">
              <w:rPr>
                <w:spacing w:val="-2"/>
              </w:rPr>
              <w:t xml:space="preserve"> </w:t>
            </w:r>
            <w:r w:rsidR="00B67F89">
              <w:t>concerns</w:t>
            </w:r>
            <w:r w:rsidR="00B67F89">
              <w:rPr>
                <w:spacing w:val="-2"/>
              </w:rPr>
              <w:t xml:space="preserve"> </w:t>
            </w:r>
            <w:r w:rsidR="00B67F89">
              <w:t>to</w:t>
            </w:r>
            <w:r w:rsidR="00B67F89">
              <w:rPr>
                <w:spacing w:val="-2"/>
              </w:rPr>
              <w:t xml:space="preserve"> </w:t>
            </w:r>
            <w:r w:rsidR="008375B2">
              <w:t xml:space="preserve">Head of QAE </w:t>
            </w:r>
            <w:r w:rsidR="00B67F89">
              <w:t>and</w:t>
            </w:r>
            <w:r w:rsidR="00B67F89">
              <w:rPr>
                <w:spacing w:val="-1"/>
              </w:rPr>
              <w:t xml:space="preserve"> </w:t>
            </w:r>
            <w:r w:rsidR="00B67F89">
              <w:t>Pro Vice-Chancellor (Education)</w:t>
            </w:r>
            <w:r w:rsidR="00776DD8">
              <w:t>.</w:t>
            </w:r>
          </w:p>
          <w:p w14:paraId="1587C4E0" w14:textId="1B6A12D2" w:rsidR="00B67F89" w:rsidRDefault="00F21187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Assistant</w:t>
            </w:r>
            <w:r w:rsidR="00CF1046">
              <w:t xml:space="preserve"> </w:t>
            </w:r>
            <w:r w:rsidR="008375B2">
              <w:t xml:space="preserve">Registrar QAE </w:t>
            </w:r>
            <w:r w:rsidR="00B67F89">
              <w:t>prepares annual report highlighting any generic issues/</w:t>
            </w:r>
            <w:proofErr w:type="gramStart"/>
            <w:r w:rsidR="00B67F89">
              <w:t>areas</w:t>
            </w:r>
            <w:r w:rsidR="0003399E">
              <w:t xml:space="preserve"> </w:t>
            </w:r>
            <w:r w:rsidR="00B67F89">
              <w:rPr>
                <w:spacing w:val="-64"/>
              </w:rPr>
              <w:t xml:space="preserve"> </w:t>
            </w:r>
            <w:r w:rsidR="00B67F89">
              <w:t>of</w:t>
            </w:r>
            <w:proofErr w:type="gramEnd"/>
            <w:r w:rsidR="00B67F89">
              <w:rPr>
                <w:spacing w:val="-1"/>
              </w:rPr>
              <w:t xml:space="preserve"> </w:t>
            </w:r>
            <w:r w:rsidR="00B67F89">
              <w:t>good</w:t>
            </w:r>
            <w:r w:rsidR="00B67F89">
              <w:rPr>
                <w:spacing w:val="-4"/>
              </w:rPr>
              <w:t xml:space="preserve"> </w:t>
            </w:r>
            <w:r w:rsidR="00B67F89">
              <w:t>practice that</w:t>
            </w:r>
            <w:r w:rsidR="00B67F89">
              <w:rPr>
                <w:spacing w:val="-1"/>
              </w:rPr>
              <w:t xml:space="preserve"> </w:t>
            </w:r>
            <w:r w:rsidR="00B67F89">
              <w:t>are raised.</w:t>
            </w:r>
          </w:p>
          <w:p w14:paraId="1587C4E1" w14:textId="23885EF5" w:rsidR="00B67F89" w:rsidRDefault="001341A6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A</w:t>
            </w:r>
            <w:r w:rsidR="00B67F89">
              <w:t>uthorises</w:t>
            </w:r>
            <w:r w:rsidR="00B67F89">
              <w:rPr>
                <w:spacing w:val="-2"/>
              </w:rPr>
              <w:t xml:space="preserve"> </w:t>
            </w:r>
            <w:r w:rsidR="00B67F89">
              <w:t>fee</w:t>
            </w:r>
            <w:r w:rsidR="00B67F89">
              <w:rPr>
                <w:spacing w:val="-6"/>
              </w:rPr>
              <w:t xml:space="preserve"> </w:t>
            </w:r>
            <w:r w:rsidR="00B67F89">
              <w:t>and</w:t>
            </w:r>
            <w:r w:rsidR="00B67F89">
              <w:rPr>
                <w:spacing w:val="-2"/>
              </w:rPr>
              <w:t xml:space="preserve"> </w:t>
            </w:r>
            <w:r w:rsidR="00B67F89">
              <w:t>expense</w:t>
            </w:r>
            <w:r w:rsidR="00EF7BE1">
              <w:t xml:space="preserve"> payments</w:t>
            </w:r>
            <w:r w:rsidR="00776DD8">
              <w:t>.</w:t>
            </w:r>
          </w:p>
        </w:tc>
        <w:tc>
          <w:tcPr>
            <w:tcW w:w="4536" w:type="dxa"/>
          </w:tcPr>
          <w:p w14:paraId="1587C4E2" w14:textId="20DA2154" w:rsidR="00B67F89" w:rsidRDefault="00A23061" w:rsidP="6445A77E">
            <w:pPr>
              <w:pStyle w:val="TableParagraph"/>
              <w:spacing w:line="260" w:lineRule="exact"/>
            </w:pPr>
            <w:r>
              <w:t>Course Leader</w:t>
            </w:r>
            <w:r w:rsidR="00740300">
              <w:t>(s)</w:t>
            </w:r>
            <w:r>
              <w:t xml:space="preserve">, Head of Department, Head of School, </w:t>
            </w:r>
            <w:r w:rsidR="00EF7BE1">
              <w:t xml:space="preserve">Deputy Deans, </w:t>
            </w:r>
            <w:r>
              <w:t>SDLT</w:t>
            </w:r>
            <w:r w:rsidR="00AA4F37">
              <w:t>(s)</w:t>
            </w:r>
            <w:r>
              <w:t xml:space="preserve"> and Partner/ University Liaison Officer (if applicable) </w:t>
            </w:r>
            <w:r w:rsidR="00B67F89">
              <w:t>receive all reports</w:t>
            </w:r>
            <w:r w:rsidR="00776DD8">
              <w:t>.</w:t>
            </w:r>
          </w:p>
        </w:tc>
      </w:tr>
      <w:tr w:rsidR="00485D20" w14:paraId="52DE0F4F" w14:textId="77777777" w:rsidTr="6E7F5FA0">
        <w:trPr>
          <w:trHeight w:val="983"/>
        </w:trPr>
        <w:tc>
          <w:tcPr>
            <w:tcW w:w="2093" w:type="dxa"/>
          </w:tcPr>
          <w:p w14:paraId="4A5DFA41" w14:textId="3EE65F76" w:rsidR="00485D20" w:rsidRDefault="00485D20" w:rsidP="00F65EAA">
            <w:pPr>
              <w:pStyle w:val="TableParagraph"/>
              <w:spacing w:line="271" w:lineRule="exact"/>
              <w:ind w:left="0"/>
            </w:pPr>
            <w:r>
              <w:t>PAB</w:t>
            </w:r>
            <w:r w:rsidR="00E328D6">
              <w:t>/ HDA</w:t>
            </w:r>
            <w:r>
              <w:t xml:space="preserve"> External Examiner report</w:t>
            </w:r>
          </w:p>
        </w:tc>
        <w:tc>
          <w:tcPr>
            <w:tcW w:w="4394" w:type="dxa"/>
          </w:tcPr>
          <w:p w14:paraId="1256652F" w14:textId="27EBDAAD" w:rsidR="00485D20" w:rsidRDefault="00485D20" w:rsidP="00485D20">
            <w:pPr>
              <w:pStyle w:val="TableParagraph"/>
              <w:ind w:right="185"/>
            </w:pPr>
          </w:p>
        </w:tc>
        <w:tc>
          <w:tcPr>
            <w:tcW w:w="4678" w:type="dxa"/>
          </w:tcPr>
          <w:p w14:paraId="056C9FA2" w14:textId="59801EDC" w:rsidR="008375B2" w:rsidRDefault="008375B2" w:rsidP="00485D2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line="237" w:lineRule="auto"/>
              <w:ind w:right="384"/>
            </w:pPr>
            <w:r>
              <w:t>Receives PAB</w:t>
            </w:r>
            <w:r w:rsidR="00E328D6">
              <w:t>/ HDA</w:t>
            </w:r>
            <w:r>
              <w:t xml:space="preserve"> external examiners’</w:t>
            </w:r>
            <w:r>
              <w:rPr>
                <w:spacing w:val="1"/>
              </w:rPr>
              <w:t xml:space="preserve"> </w:t>
            </w:r>
            <w:r>
              <w:t>reports</w:t>
            </w:r>
            <w:r w:rsidR="00E328D6">
              <w:t>.</w:t>
            </w:r>
          </w:p>
          <w:p w14:paraId="31EC39C3" w14:textId="41AFA576" w:rsidR="00485D20" w:rsidRDefault="002714C6" w:rsidP="00485D2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line="237" w:lineRule="auto"/>
              <w:ind w:right="384"/>
            </w:pPr>
            <w:r>
              <w:t>H</w:t>
            </w:r>
            <w:r w:rsidR="00485D20">
              <w:t>ighlights</w:t>
            </w:r>
            <w:r w:rsidR="00485D20">
              <w:rPr>
                <w:spacing w:val="-3"/>
              </w:rPr>
              <w:t xml:space="preserve"> </w:t>
            </w:r>
            <w:r w:rsidR="00485D20">
              <w:t>any</w:t>
            </w:r>
            <w:r w:rsidR="00485D20">
              <w:rPr>
                <w:spacing w:val="-4"/>
              </w:rPr>
              <w:t xml:space="preserve"> </w:t>
            </w:r>
            <w:r w:rsidR="00485D20">
              <w:t>issues</w:t>
            </w:r>
            <w:r w:rsidR="00485D20">
              <w:rPr>
                <w:spacing w:val="-4"/>
              </w:rPr>
              <w:t xml:space="preserve"> </w:t>
            </w:r>
            <w:r w:rsidR="00485D20">
              <w:t>raised</w:t>
            </w:r>
            <w:r w:rsidR="00485D20">
              <w:rPr>
                <w:spacing w:val="-3"/>
              </w:rPr>
              <w:t xml:space="preserve"> </w:t>
            </w:r>
            <w:r w:rsidR="00485D20">
              <w:t>in</w:t>
            </w:r>
            <w:r w:rsidR="00485D20">
              <w:rPr>
                <w:spacing w:val="-3"/>
              </w:rPr>
              <w:t xml:space="preserve"> </w:t>
            </w:r>
            <w:r w:rsidR="00485D20">
              <w:t>the</w:t>
            </w:r>
            <w:r w:rsidR="00485D20">
              <w:rPr>
                <w:spacing w:val="1"/>
              </w:rPr>
              <w:t xml:space="preserve"> </w:t>
            </w:r>
            <w:r w:rsidR="00485D20">
              <w:t>report</w:t>
            </w:r>
            <w:r w:rsidR="00485D20">
              <w:rPr>
                <w:spacing w:val="-4"/>
              </w:rPr>
              <w:t xml:space="preserve"> </w:t>
            </w:r>
            <w:r w:rsidR="00E328D6">
              <w:rPr>
                <w:spacing w:val="-4"/>
              </w:rPr>
              <w:t>and discusses with the Regulations, Assessment and Student Casework team</w:t>
            </w:r>
            <w:r w:rsidR="00912070">
              <w:rPr>
                <w:spacing w:val="-4"/>
              </w:rPr>
              <w:t xml:space="preserve"> (RASC)</w:t>
            </w:r>
            <w:r w:rsidR="00E328D6">
              <w:rPr>
                <w:spacing w:val="-4"/>
              </w:rPr>
              <w:t xml:space="preserve">. </w:t>
            </w:r>
          </w:p>
          <w:p w14:paraId="7AA130F7" w14:textId="3C53DEC7" w:rsidR="00252B27" w:rsidRPr="00AA7D10" w:rsidRDefault="002714C6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R</w:t>
            </w:r>
            <w:r w:rsidR="00485D20">
              <w:t>efers</w:t>
            </w:r>
            <w:r w:rsidR="00485D20">
              <w:rPr>
                <w:spacing w:val="-2"/>
              </w:rPr>
              <w:t xml:space="preserve"> </w:t>
            </w:r>
            <w:r w:rsidR="00485D20">
              <w:t>serious</w:t>
            </w:r>
            <w:r w:rsidR="00485D20">
              <w:rPr>
                <w:spacing w:val="-2"/>
              </w:rPr>
              <w:t xml:space="preserve"> </w:t>
            </w:r>
            <w:r w:rsidR="00485D20">
              <w:t>concerns</w:t>
            </w:r>
            <w:r w:rsidR="00485D20">
              <w:rPr>
                <w:spacing w:val="-2"/>
              </w:rPr>
              <w:t xml:space="preserve"> </w:t>
            </w:r>
            <w:r w:rsidR="00485D20">
              <w:t>to</w:t>
            </w:r>
            <w:r w:rsidR="00485D20">
              <w:rPr>
                <w:spacing w:val="-2"/>
              </w:rPr>
              <w:t xml:space="preserve"> </w:t>
            </w:r>
            <w:r w:rsidR="00E328D6">
              <w:rPr>
                <w:spacing w:val="-2"/>
              </w:rPr>
              <w:t>Head of QAE</w:t>
            </w:r>
            <w:r w:rsidR="00485D20">
              <w:rPr>
                <w:spacing w:val="-63"/>
              </w:rPr>
              <w:t xml:space="preserve"> </w:t>
            </w:r>
            <w:r w:rsidR="00485D20">
              <w:t>and</w:t>
            </w:r>
            <w:r w:rsidR="00485D20">
              <w:rPr>
                <w:spacing w:val="-1"/>
              </w:rPr>
              <w:t xml:space="preserve"> </w:t>
            </w:r>
            <w:r w:rsidR="00485D20">
              <w:t xml:space="preserve">Pro Vice-Chancellor </w:t>
            </w:r>
            <w:r w:rsidR="00485D20">
              <w:lastRenderedPageBreak/>
              <w:t>(Education).</w:t>
            </w:r>
          </w:p>
          <w:p w14:paraId="55112DC2" w14:textId="60E54C9E" w:rsidR="00485D20" w:rsidRDefault="00485D20" w:rsidP="202A960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7" w:lineRule="auto"/>
              <w:ind w:right="384"/>
              <w:rPr>
                <w:rFonts w:asciiTheme="minorHAnsi" w:eastAsiaTheme="minorEastAsia" w:hAnsiTheme="minorHAnsi" w:cstheme="minorBidi"/>
              </w:rPr>
            </w:pPr>
            <w:r>
              <w:t>A</w:t>
            </w:r>
            <w:r w:rsidR="006D118C">
              <w:t xml:space="preserve">ssistant </w:t>
            </w:r>
            <w:r>
              <w:t>Registrar QAE reads all reports and prepares</w:t>
            </w:r>
            <w:r>
              <w:rPr>
                <w:spacing w:val="-64"/>
              </w:rPr>
              <w:t xml:space="preserve"> </w:t>
            </w:r>
            <w:r>
              <w:t>annual report highlighting any generic issues/areas</w:t>
            </w:r>
            <w:r>
              <w:rPr>
                <w:spacing w:val="-6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practice that</w:t>
            </w:r>
            <w:r>
              <w:rPr>
                <w:spacing w:val="-1"/>
              </w:rPr>
              <w:t xml:space="preserve"> </w:t>
            </w:r>
            <w:r>
              <w:t>are raised.</w:t>
            </w:r>
          </w:p>
          <w:p w14:paraId="17748030" w14:textId="0147951B" w:rsidR="00485D20" w:rsidRDefault="002714C6" w:rsidP="00485D2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line="237" w:lineRule="auto"/>
              <w:ind w:right="384"/>
            </w:pPr>
            <w:r>
              <w:t>A</w:t>
            </w:r>
            <w:r w:rsidR="00485D20">
              <w:t>uthorises</w:t>
            </w:r>
            <w:r w:rsidR="00485D20">
              <w:rPr>
                <w:spacing w:val="-2"/>
              </w:rPr>
              <w:t xml:space="preserve"> </w:t>
            </w:r>
            <w:r w:rsidR="00485D20">
              <w:t>fee</w:t>
            </w:r>
            <w:r w:rsidR="00485D20">
              <w:rPr>
                <w:spacing w:val="-6"/>
              </w:rPr>
              <w:t xml:space="preserve"> </w:t>
            </w:r>
            <w:r w:rsidR="00485D20">
              <w:t>and</w:t>
            </w:r>
            <w:r w:rsidR="00485D20">
              <w:rPr>
                <w:spacing w:val="-2"/>
              </w:rPr>
              <w:t xml:space="preserve"> </w:t>
            </w:r>
            <w:r w:rsidR="00485D20">
              <w:t>expense</w:t>
            </w:r>
            <w:r>
              <w:t xml:space="preserve"> payments</w:t>
            </w:r>
            <w:r w:rsidR="00485D20">
              <w:t>.</w:t>
            </w:r>
          </w:p>
        </w:tc>
        <w:tc>
          <w:tcPr>
            <w:tcW w:w="4536" w:type="dxa"/>
          </w:tcPr>
          <w:p w14:paraId="6B66692F" w14:textId="10318B7D" w:rsidR="00485D20" w:rsidRDefault="00485D20" w:rsidP="00485D20">
            <w:pPr>
              <w:pStyle w:val="TableParagraph"/>
              <w:ind w:right="606"/>
            </w:pPr>
          </w:p>
        </w:tc>
      </w:tr>
      <w:tr w:rsidR="00164308" w14:paraId="76CE14BB" w14:textId="77777777" w:rsidTr="6E7F5FA0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2975027D" w14:textId="491ACA43" w:rsidR="00164308" w:rsidRDefault="7D7181FA" w:rsidP="00F65EAA">
            <w:pPr>
              <w:pStyle w:val="TableParagraph"/>
              <w:spacing w:line="271" w:lineRule="exact"/>
              <w:ind w:left="0"/>
            </w:pPr>
            <w:r>
              <w:t>Response to Subject External Examiner’s report</w:t>
            </w:r>
            <w:r w:rsidR="0073181C">
              <w:t xml:space="preserve"> (where required for PSRB)</w:t>
            </w:r>
          </w:p>
        </w:tc>
        <w:tc>
          <w:tcPr>
            <w:tcW w:w="4394" w:type="dxa"/>
          </w:tcPr>
          <w:p w14:paraId="27A8B1C9" w14:textId="2FB7E156" w:rsidR="00FA7E23" w:rsidRDefault="00D13110" w:rsidP="00280F35">
            <w:pPr>
              <w:pStyle w:val="TableParagraph"/>
              <w:numPr>
                <w:ilvl w:val="0"/>
                <w:numId w:val="7"/>
              </w:numPr>
              <w:spacing w:line="271" w:lineRule="exact"/>
              <w:ind w:left="311"/>
            </w:pPr>
            <w:r>
              <w:t>Course Leader(s) writes formal response and sends to Head of Department</w:t>
            </w:r>
            <w:r w:rsidR="00DF7DED">
              <w:t>/ School</w:t>
            </w:r>
            <w:r>
              <w:t xml:space="preserve"> for approval.</w:t>
            </w:r>
          </w:p>
          <w:p w14:paraId="69DD1545" w14:textId="3E784423" w:rsidR="00D13110" w:rsidRPr="00D13110" w:rsidRDefault="00D13110" w:rsidP="00280F35">
            <w:pPr>
              <w:pStyle w:val="TableParagraph"/>
              <w:numPr>
                <w:ilvl w:val="0"/>
                <w:numId w:val="7"/>
              </w:numPr>
              <w:spacing w:line="271" w:lineRule="exact"/>
              <w:ind w:left="311"/>
            </w:pPr>
            <w:r>
              <w:t>Head of Department (or their nominee) sends the response to the external examiner</w:t>
            </w:r>
            <w:r w:rsidR="00DF7DED">
              <w:t>.</w:t>
            </w:r>
          </w:p>
          <w:p w14:paraId="08ED3674" w14:textId="1E6F1C98" w:rsidR="00164308" w:rsidRDefault="78499892" w:rsidP="00280F35">
            <w:pPr>
              <w:pStyle w:val="TableParagraph"/>
              <w:numPr>
                <w:ilvl w:val="0"/>
                <w:numId w:val="7"/>
              </w:numPr>
              <w:spacing w:line="271" w:lineRule="exact"/>
              <w:ind w:left="311"/>
            </w:pPr>
            <w:r>
              <w:t>If applicable, ULO sends EE response to collaborative partner.</w:t>
            </w:r>
          </w:p>
        </w:tc>
        <w:tc>
          <w:tcPr>
            <w:tcW w:w="4678" w:type="dxa"/>
          </w:tcPr>
          <w:p w14:paraId="4BC5CE62" w14:textId="1A7295BA" w:rsidR="00164308" w:rsidRDefault="00164308" w:rsidP="008E6BB1">
            <w:pPr>
              <w:pStyle w:val="TableParagraph"/>
              <w:spacing w:line="271" w:lineRule="exact"/>
              <w:ind w:left="0"/>
            </w:pPr>
          </w:p>
          <w:p w14:paraId="0F4EA6BB" w14:textId="68E0D9FE" w:rsidR="00F11BA8" w:rsidRDefault="00D26088" w:rsidP="0039221E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325"/>
            </w:pPr>
            <w:r>
              <w:t>Stores response in repository</w:t>
            </w:r>
            <w:r w:rsidR="008175D6">
              <w:t>.</w:t>
            </w:r>
          </w:p>
        </w:tc>
        <w:tc>
          <w:tcPr>
            <w:tcW w:w="4536" w:type="dxa"/>
          </w:tcPr>
          <w:p w14:paraId="575F1C50" w14:textId="60D30185" w:rsidR="00164308" w:rsidRDefault="00164308" w:rsidP="008E6BB1">
            <w:pPr>
              <w:pStyle w:val="TableParagraph"/>
              <w:spacing w:line="271" w:lineRule="exact"/>
              <w:ind w:left="0"/>
            </w:pPr>
          </w:p>
        </w:tc>
      </w:tr>
      <w:tr w:rsidR="00164308" w14:paraId="134A7C99" w14:textId="77777777" w:rsidTr="6E7F5FA0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5AFE4ACF" w14:textId="149D11F0" w:rsidR="00164308" w:rsidRDefault="78499892" w:rsidP="00F65EAA">
            <w:pPr>
              <w:pStyle w:val="TableParagraph"/>
              <w:spacing w:line="271" w:lineRule="exact"/>
              <w:ind w:left="0"/>
            </w:pPr>
            <w:r>
              <w:t>Response to PAB</w:t>
            </w:r>
            <w:r w:rsidR="00467225">
              <w:t>/ HDA</w:t>
            </w:r>
            <w:r>
              <w:t xml:space="preserve"> External Examiner’s report</w:t>
            </w:r>
          </w:p>
        </w:tc>
        <w:tc>
          <w:tcPr>
            <w:tcW w:w="4394" w:type="dxa"/>
          </w:tcPr>
          <w:p w14:paraId="5B529B75" w14:textId="77777777" w:rsidR="00164308" w:rsidRDefault="00164308" w:rsidP="00164308"/>
          <w:p w14:paraId="4F2DB54B" w14:textId="77777777" w:rsidR="00001333" w:rsidRPr="00001333" w:rsidRDefault="00001333" w:rsidP="00001333"/>
          <w:p w14:paraId="7A5CDA0F" w14:textId="77777777" w:rsidR="00001333" w:rsidRPr="00001333" w:rsidRDefault="00001333" w:rsidP="00001333"/>
          <w:p w14:paraId="76D1FD35" w14:textId="77777777" w:rsidR="00001333" w:rsidRPr="00001333" w:rsidRDefault="00001333" w:rsidP="00001333"/>
          <w:p w14:paraId="22C9B098" w14:textId="77777777" w:rsidR="00001333" w:rsidRPr="00001333" w:rsidRDefault="00001333" w:rsidP="00001333"/>
          <w:p w14:paraId="479C44D9" w14:textId="77777777" w:rsidR="00001333" w:rsidRPr="00001333" w:rsidRDefault="00001333" w:rsidP="00001333"/>
          <w:p w14:paraId="08087E5A" w14:textId="77777777" w:rsidR="00001333" w:rsidRPr="00001333" w:rsidRDefault="00001333" w:rsidP="00001333"/>
          <w:p w14:paraId="6EBDACC1" w14:textId="77777777" w:rsidR="00001333" w:rsidRPr="00001333" w:rsidRDefault="00001333" w:rsidP="00001333"/>
          <w:p w14:paraId="6888D138" w14:textId="48E405C2" w:rsidR="00001333" w:rsidRPr="00001333" w:rsidRDefault="00001333" w:rsidP="00001333">
            <w:pPr>
              <w:jc w:val="right"/>
            </w:pPr>
          </w:p>
        </w:tc>
        <w:tc>
          <w:tcPr>
            <w:tcW w:w="4678" w:type="dxa"/>
          </w:tcPr>
          <w:p w14:paraId="7767EB7F" w14:textId="7136DF20" w:rsidR="00164308" w:rsidRDefault="7D7181FA" w:rsidP="00442153">
            <w:pPr>
              <w:pStyle w:val="TableParagraph"/>
              <w:numPr>
                <w:ilvl w:val="0"/>
                <w:numId w:val="12"/>
              </w:numPr>
              <w:spacing w:line="271" w:lineRule="exact"/>
              <w:ind w:left="325"/>
            </w:pPr>
            <w:r>
              <w:t xml:space="preserve">Provides written response to external examiner on points raised, in liaison with </w:t>
            </w:r>
            <w:r w:rsidR="00912070">
              <w:t xml:space="preserve">RASC </w:t>
            </w:r>
            <w:r>
              <w:t>team.</w:t>
            </w:r>
          </w:p>
          <w:p w14:paraId="63CF525E" w14:textId="07B7BFE3" w:rsidR="00236D34" w:rsidRDefault="00DF7DED" w:rsidP="00442153">
            <w:pPr>
              <w:pStyle w:val="TableParagraph"/>
              <w:numPr>
                <w:ilvl w:val="0"/>
                <w:numId w:val="10"/>
              </w:numPr>
              <w:spacing w:line="271" w:lineRule="exact"/>
              <w:ind w:left="325"/>
            </w:pPr>
            <w:r>
              <w:t>Alerts</w:t>
            </w:r>
            <w:r w:rsidR="00E632A1">
              <w:t xml:space="preserve"> </w:t>
            </w:r>
            <w:r w:rsidR="003D0E22">
              <w:t>the Pro Vice-Chancellor</w:t>
            </w:r>
            <w:r w:rsidR="00E632A1">
              <w:fldChar w:fldCharType="begin"/>
            </w:r>
            <w:r w:rsidR="00E632A1">
              <w:instrText xml:space="preserve"> XE "Vice-Chancellor:VC" </w:instrText>
            </w:r>
            <w:r w:rsidR="00E632A1">
              <w:fldChar w:fldCharType="end"/>
            </w:r>
            <w:r w:rsidR="003D0E22">
              <w:t xml:space="preserve"> (Education) </w:t>
            </w:r>
            <w:r>
              <w:t xml:space="preserve">to any issues of serious concern </w:t>
            </w:r>
            <w:r w:rsidR="003D0E22">
              <w:t>and draft</w:t>
            </w:r>
            <w:r>
              <w:t>s</w:t>
            </w:r>
            <w:r w:rsidR="003D0E22">
              <w:t xml:space="preserve"> a response </w:t>
            </w:r>
            <w:r w:rsidR="00A4620D">
              <w:t>(</w:t>
            </w:r>
            <w:r w:rsidR="003D0E22">
              <w:t xml:space="preserve">in liaison with RASC </w:t>
            </w:r>
            <w:r w:rsidR="00A4620D">
              <w:t xml:space="preserve">for PAB EEs) </w:t>
            </w:r>
            <w:r w:rsidR="003D0E22">
              <w:t>for approval</w:t>
            </w:r>
            <w:r w:rsidR="00874637">
              <w:t xml:space="preserve"> by the Pro Vice-Chancellor</w:t>
            </w:r>
            <w:r w:rsidR="00E632A1">
              <w:fldChar w:fldCharType="begin"/>
            </w:r>
            <w:r w:rsidR="00E632A1">
              <w:instrText xml:space="preserve"> XE "Vice-Chancellor:VC" </w:instrText>
            </w:r>
            <w:r w:rsidR="00E632A1">
              <w:fldChar w:fldCharType="end"/>
            </w:r>
            <w:r w:rsidR="00874637">
              <w:t xml:space="preserve"> (Education)</w:t>
            </w:r>
            <w:r w:rsidR="003D0E22">
              <w:t xml:space="preserve">. </w:t>
            </w:r>
            <w:r w:rsidR="78499892">
              <w:t xml:space="preserve">The </w:t>
            </w:r>
            <w:r w:rsidR="7020AD3D">
              <w:t>PV</w:t>
            </w:r>
            <w:r w:rsidR="4AB1BAC7">
              <w:t>C</w:t>
            </w:r>
            <w:r w:rsidR="7020AD3D">
              <w:t xml:space="preserve"> (Education) </w:t>
            </w:r>
            <w:r w:rsidR="78499892">
              <w:t>may also recommend an Internal Quality Audit (see section E) if comments suggest that there are other related matters to investigate.</w:t>
            </w:r>
          </w:p>
        </w:tc>
        <w:tc>
          <w:tcPr>
            <w:tcW w:w="4536" w:type="dxa"/>
          </w:tcPr>
          <w:p w14:paraId="3B1080AA" w14:textId="2E8DFF99" w:rsidR="00164308" w:rsidRDefault="00164308" w:rsidP="00164308"/>
          <w:p w14:paraId="2397D81C" w14:textId="77777777" w:rsidR="00164308" w:rsidRDefault="00164308" w:rsidP="00164308"/>
        </w:tc>
      </w:tr>
      <w:tr w:rsidR="00164308" w14:paraId="6FC8800B" w14:textId="77777777" w:rsidTr="6E7F5FA0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2B9AA591" w14:textId="18934E40" w:rsidR="00164308" w:rsidRDefault="7D7181FA" w:rsidP="00F65EAA">
            <w:pPr>
              <w:pStyle w:val="TableParagraph"/>
              <w:spacing w:line="271" w:lineRule="exact"/>
              <w:ind w:left="0"/>
            </w:pPr>
            <w:r>
              <w:t>Payment of all External Examiners</w:t>
            </w:r>
          </w:p>
        </w:tc>
        <w:tc>
          <w:tcPr>
            <w:tcW w:w="4394" w:type="dxa"/>
          </w:tcPr>
          <w:p w14:paraId="66CE770D" w14:textId="77777777" w:rsidR="00164308" w:rsidRDefault="00164308" w:rsidP="00164308"/>
        </w:tc>
        <w:tc>
          <w:tcPr>
            <w:tcW w:w="4678" w:type="dxa"/>
          </w:tcPr>
          <w:p w14:paraId="624492CB" w14:textId="65E40C4E" w:rsidR="00164308" w:rsidRDefault="00CC409D" w:rsidP="00415A2B">
            <w:pPr>
              <w:pStyle w:val="TableParagraph"/>
              <w:numPr>
                <w:ilvl w:val="0"/>
                <w:numId w:val="11"/>
              </w:numPr>
              <w:spacing w:line="271" w:lineRule="exact"/>
              <w:ind w:left="325"/>
            </w:pPr>
            <w:r>
              <w:t>A</w:t>
            </w:r>
            <w:r w:rsidR="7D7181FA">
              <w:t xml:space="preserve">uthorises annual fee </w:t>
            </w:r>
            <w:r>
              <w:t xml:space="preserve">payment </w:t>
            </w:r>
            <w:r w:rsidR="7D7181FA">
              <w:t>on receipt of report.</w:t>
            </w:r>
          </w:p>
          <w:p w14:paraId="19BA2396" w14:textId="6BCFD693" w:rsidR="00164308" w:rsidRDefault="005153AC" w:rsidP="00775867">
            <w:pPr>
              <w:pStyle w:val="TableParagraph"/>
              <w:numPr>
                <w:ilvl w:val="0"/>
                <w:numId w:val="11"/>
              </w:numPr>
              <w:spacing w:line="271" w:lineRule="exact"/>
              <w:ind w:left="184" w:hanging="238"/>
            </w:pPr>
            <w:r>
              <w:t xml:space="preserve">  </w:t>
            </w:r>
            <w:r w:rsidR="00CC409D">
              <w:t>A</w:t>
            </w:r>
            <w:r w:rsidR="7D7181FA">
              <w:t>uthorises expense</w:t>
            </w:r>
            <w:r w:rsidR="00775867">
              <w:t xml:space="preserve"> reimbursement </w:t>
            </w:r>
            <w:r w:rsidR="00775867">
              <w:lastRenderedPageBreak/>
              <w:t xml:space="preserve">claims </w:t>
            </w:r>
            <w:r w:rsidR="7D7181FA">
              <w:t>submitted</w:t>
            </w:r>
            <w:r w:rsidR="00775867">
              <w:t xml:space="preserve"> </w:t>
            </w:r>
            <w:r w:rsidR="7D7181FA">
              <w:t xml:space="preserve">by </w:t>
            </w:r>
            <w:r w:rsidR="00775867">
              <w:t xml:space="preserve">EE </w:t>
            </w:r>
            <w:r w:rsidR="7D7181FA">
              <w:t>(together with receipts)</w:t>
            </w:r>
            <w:r w:rsidR="36EA8F39">
              <w:t>.</w:t>
            </w:r>
          </w:p>
        </w:tc>
        <w:tc>
          <w:tcPr>
            <w:tcW w:w="4536" w:type="dxa"/>
          </w:tcPr>
          <w:p w14:paraId="14F4009F" w14:textId="77777777" w:rsidR="00164308" w:rsidRDefault="00164308" w:rsidP="00164308"/>
        </w:tc>
      </w:tr>
      <w:tr w:rsidR="00164308" w14:paraId="544DE7C1" w14:textId="77777777" w:rsidTr="6E7F5FA0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79E50D3E" w14:textId="11DA4CC7" w:rsidR="00164308" w:rsidRDefault="749A6DFC" w:rsidP="00164308">
            <w:r>
              <w:t>Confidential</w:t>
            </w:r>
            <w:r>
              <w:rPr>
                <w:spacing w:val="1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7A9D0EC3">
              <w:t>VC (Vice Chancellor)</w:t>
            </w:r>
          </w:p>
        </w:tc>
        <w:tc>
          <w:tcPr>
            <w:tcW w:w="4394" w:type="dxa"/>
          </w:tcPr>
          <w:p w14:paraId="633A0F6A" w14:textId="77777777" w:rsidR="00164308" w:rsidRDefault="00164308" w:rsidP="00164308"/>
        </w:tc>
        <w:tc>
          <w:tcPr>
            <w:tcW w:w="4678" w:type="dxa"/>
          </w:tcPr>
          <w:p w14:paraId="456E3424" w14:textId="2313D762" w:rsidR="00164308" w:rsidRDefault="7D7181FA" w:rsidP="6445A77E">
            <w:pPr>
              <w:pStyle w:val="TableParagraph"/>
              <w:spacing w:line="271" w:lineRule="exact"/>
            </w:pPr>
            <w:r>
              <w:t>An acknowledgement letter is sent to the examiner from the VC within one week of receipt of the letter</w:t>
            </w:r>
            <w:r w:rsidR="002A7A05">
              <w:t xml:space="preserve"> submitted by the external examiner</w:t>
            </w:r>
            <w:r>
              <w:t xml:space="preserve">. </w:t>
            </w:r>
            <w:r w:rsidR="78499892">
              <w:t>The VC will respond to the external examiner within four weeks of receipt of the letter.</w:t>
            </w:r>
          </w:p>
        </w:tc>
        <w:tc>
          <w:tcPr>
            <w:tcW w:w="4536" w:type="dxa"/>
          </w:tcPr>
          <w:p w14:paraId="2FD332BA" w14:textId="1F67A7EF" w:rsidR="00164308" w:rsidRDefault="00103173" w:rsidP="6445A77E">
            <w:pPr>
              <w:pStyle w:val="TableParagraph"/>
              <w:spacing w:line="271" w:lineRule="exact"/>
            </w:pPr>
            <w:r>
              <w:t>Head of School</w:t>
            </w:r>
            <w:r w:rsidR="0066175B">
              <w:t xml:space="preserve"> </w:t>
            </w:r>
            <w:r w:rsidR="3D3B06AE">
              <w:t>(</w:t>
            </w:r>
            <w:r w:rsidR="7D7181FA">
              <w:t xml:space="preserve">or QAE </w:t>
            </w:r>
            <w:r w:rsidR="3D3B06AE">
              <w:t>for PAB</w:t>
            </w:r>
            <w:r w:rsidR="004100F5">
              <w:t>/ HDA</w:t>
            </w:r>
            <w:r w:rsidR="3D3B06AE">
              <w:t xml:space="preserve"> EEs) </w:t>
            </w:r>
            <w:r w:rsidR="7D7181FA">
              <w:t xml:space="preserve">to provide all necessary information to the </w:t>
            </w:r>
            <w:r w:rsidR="08F667D1">
              <w:t>PVC (Education)</w:t>
            </w:r>
            <w:r w:rsidR="00E85D49">
              <w:t xml:space="preserve"> and the</w:t>
            </w:r>
            <w:r w:rsidR="00B7440D">
              <w:t xml:space="preserve"> Head of QAE</w:t>
            </w:r>
            <w:r w:rsidR="7D7181FA">
              <w:t xml:space="preserve"> within two weeks of the request.</w:t>
            </w:r>
          </w:p>
        </w:tc>
      </w:tr>
    </w:tbl>
    <w:p w14:paraId="1587C4E8" w14:textId="77777777" w:rsidR="008D5268" w:rsidRDefault="008D5268">
      <w:pPr>
        <w:pStyle w:val="BodyText"/>
        <w:spacing w:before="5"/>
      </w:pPr>
    </w:p>
    <w:p w14:paraId="1587C501" w14:textId="77777777" w:rsidR="0029784B" w:rsidRDefault="0029784B"/>
    <w:sectPr w:rsidR="0029784B" w:rsidSect="002B01BA">
      <w:headerReference w:type="default" r:id="rId10"/>
      <w:footerReference w:type="default" r:id="rId11"/>
      <w:pgSz w:w="16840" w:h="11910" w:orient="landscape"/>
      <w:pgMar w:top="1100" w:right="660" w:bottom="1418" w:left="620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12DF" w14:textId="77777777" w:rsidR="008D7BF4" w:rsidRDefault="008D7BF4">
      <w:r>
        <w:separator/>
      </w:r>
    </w:p>
  </w:endnote>
  <w:endnote w:type="continuationSeparator" w:id="0">
    <w:p w14:paraId="0155DBC7" w14:textId="77777777" w:rsidR="008D7BF4" w:rsidRDefault="008D7BF4">
      <w:r>
        <w:continuationSeparator/>
      </w:r>
    </w:p>
  </w:endnote>
  <w:endnote w:type="continuationNotice" w:id="1">
    <w:p w14:paraId="1EC0233C" w14:textId="77777777" w:rsidR="008D7BF4" w:rsidRDefault="008D7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C503" w14:textId="47832898" w:rsidR="008D5268" w:rsidRDefault="00164308" w:rsidP="202A96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587C507" wp14:editId="41303A59">
              <wp:simplePos x="0" y="0"/>
              <wp:positionH relativeFrom="page">
                <wp:posOffset>536575</wp:posOffset>
              </wp:positionH>
              <wp:positionV relativeFrom="page">
                <wp:posOffset>6964680</wp:posOffset>
              </wp:positionV>
              <wp:extent cx="9262745" cy="635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627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1D53E" id="Rectangle 4" o:spid="_x0000_s1026" alt="&quot;&quot;" style="position:absolute;margin-left:42.25pt;margin-top:548.4pt;width:729.35pt;height: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p45QEAALMDAAAOAAAAZHJzL2Uyb0RvYy54bWysU9FuGjEQfK/Uf7D8Xg4okObEEUVEqSql&#10;TaU0H7D4fHdWfV53bTjo13dtCEHtW9R7sLxeezwznlve7HsrdpqCQVfJyWgshXYKa+PaSj7/uP/w&#10;SY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vJ4uplez&#10;uRSKe4uP8/wSBZQvZz2F+FljL9KkksQPmbFh9xBi4gLly5bMHa2p7421uaB2s7YkdpAePX+ZPku8&#10;3GZd2uwwHTsippUsMulKEQrlBusDayQ8JoeTzpMO6bcUA6emkuHXFkhLYb849ul6MpulmOViNr+a&#10;ckGXnc1lB5xiqEpGKY7TdTxGc+vJtB3fNMmiHd6yt43Jwl9ZnchyMrIfpxSn6F3Wedfrv7b6AwAA&#10;//8DAFBLAwQUAAYACAAAACEA3RzVYuAAAAANAQAADwAAAGRycy9kb3ducmV2LnhtbEyPPU/DMBCG&#10;dyT+g3VIbNQmJCUNcSqKxIhECwPdnPhIosbnYLtt4NfjdoHx3nv0fpTLyQzsgM73liTczgQwpMbq&#10;nloJ72/PNzkwHxRpNVhCCd/oYVldXpSq0PZIazxsQsuiCflCSehCGAvOfdOhUX5mR6T4+7TOqBBP&#10;13Lt1DGam4EnQsy5UT3FhE6N+NRhs9vsjYTVIl99vab08rOut7j9qHdZ4oSU11fT4wOwgFP4g+FU&#10;P1aHKnaq7Z60Z4OEPM0iGXWxmMcNJyJL7xJg9Vm7z4FXJf+/ovoFAAD//wMAUEsBAi0AFAAGAAgA&#10;AAAhALaDOJL+AAAA4QEAABMAAAAAAAAAAAAAAAAAAAAAAFtDb250ZW50X1R5cGVzXS54bWxQSwEC&#10;LQAUAAYACAAAACEAOP0h/9YAAACUAQAACwAAAAAAAAAAAAAAAAAvAQAAX3JlbHMvLnJlbHNQSwEC&#10;LQAUAAYACAAAACEAdmuKeOUBAACzAwAADgAAAAAAAAAAAAAAAAAuAgAAZHJzL2Uyb0RvYy54bWxQ&#10;SwECLQAUAAYACAAAACEA3RzVYu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553B52AE" w:rsidRPr="202A9603">
      <w:rPr>
        <w:color w:val="000000" w:themeColor="text1"/>
        <w:sz w:val="16"/>
        <w:szCs w:val="16"/>
      </w:rPr>
      <w:t xml:space="preserve">AQSH: Guidance </w:t>
    </w:r>
    <w:proofErr w:type="gramStart"/>
    <w:r w:rsidR="553B52AE" w:rsidRPr="202A9603">
      <w:rPr>
        <w:color w:val="000000" w:themeColor="text1"/>
        <w:sz w:val="16"/>
        <w:szCs w:val="16"/>
      </w:rPr>
      <w:t>IG(</w:t>
    </w:r>
    <w:proofErr w:type="gramEnd"/>
    <w:r w:rsidR="553B52AE" w:rsidRPr="202A9603">
      <w:rPr>
        <w:color w:val="000000" w:themeColor="text1"/>
        <w:sz w:val="16"/>
        <w:szCs w:val="16"/>
      </w:rPr>
      <w:t>ii)</w:t>
    </w:r>
    <w:r>
      <w:tab/>
    </w:r>
    <w:r w:rsidR="553B52AE" w:rsidRPr="202A9603">
      <w:rPr>
        <w:color w:val="000000" w:themeColor="text1"/>
        <w:sz w:val="16"/>
        <w:szCs w:val="16"/>
      </w:rPr>
      <w:t xml:space="preserve">                                                                                             2025-26 </w:t>
    </w:r>
    <w:r>
      <w:tab/>
    </w:r>
    <w:r w:rsidR="553B52AE" w:rsidRPr="202A9603">
      <w:rPr>
        <w:color w:val="000000" w:themeColor="text1"/>
        <w:sz w:val="16"/>
        <w:szCs w:val="16"/>
      </w:rPr>
      <w:t xml:space="preserve">                                                                                                                       Page </w:t>
    </w:r>
    <w:r w:rsidR="553B52AE" w:rsidRPr="202A9603">
      <w:rPr>
        <w:b/>
        <w:bCs/>
        <w:color w:val="000000" w:themeColor="text1"/>
        <w:sz w:val="16"/>
        <w:szCs w:val="16"/>
      </w:rPr>
      <w:t>&lt; # &gt;</w:t>
    </w:r>
    <w:r w:rsidR="553B52AE" w:rsidRPr="202A9603">
      <w:rPr>
        <w:color w:val="000000" w:themeColor="text1"/>
        <w:sz w:val="16"/>
        <w:szCs w:val="16"/>
      </w:rPr>
      <w:t xml:space="preserve"> 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4DAE" w14:textId="77777777" w:rsidR="008D7BF4" w:rsidRDefault="008D7BF4">
      <w:r>
        <w:separator/>
      </w:r>
    </w:p>
  </w:footnote>
  <w:footnote w:type="continuationSeparator" w:id="0">
    <w:p w14:paraId="1174EDD1" w14:textId="77777777" w:rsidR="008D7BF4" w:rsidRDefault="008D7BF4">
      <w:r>
        <w:continuationSeparator/>
      </w:r>
    </w:p>
  </w:footnote>
  <w:footnote w:type="continuationNotice" w:id="1">
    <w:p w14:paraId="5C4076DE" w14:textId="77777777" w:rsidR="008D7BF4" w:rsidRDefault="008D7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295D" w14:textId="231F2E2A" w:rsidR="202A9603" w:rsidRDefault="202A9603" w:rsidP="202A96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3aJATmb" int2:invalidationBookmarkName="" int2:hashCode="3iEngVY1MD/DuK" int2:id="3VDB21BZ">
      <int2:state int2:value="Rejected" int2:type="AugLoop_Acronyms_AcronymsCritique"/>
    </int2:bookmark>
    <int2:bookmark int2:bookmarkName="_Int_4Yndv26i" int2:invalidationBookmarkName="" int2:hashCode="f1OmjTJDRvyEV6" int2:id="5urMgaNN">
      <int2:state int2:value="Rejected" int2:type="AugLoop_Text_Critique"/>
    </int2:bookmark>
    <int2:bookmark int2:bookmarkName="_Int_aijCZyU8" int2:invalidationBookmarkName="" int2:hashCode="5yO9v1/3we2P7s" int2:id="ElSJJkRj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48E8"/>
    <w:multiLevelType w:val="hybridMultilevel"/>
    <w:tmpl w:val="534C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A90"/>
    <w:multiLevelType w:val="hybridMultilevel"/>
    <w:tmpl w:val="561E3AD8"/>
    <w:lvl w:ilvl="0" w:tplc="FAC4FE1C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188FD7A">
      <w:numFmt w:val="bullet"/>
      <w:lvlText w:val="•"/>
      <w:lvlJc w:val="left"/>
      <w:pPr>
        <w:ind w:left="733" w:hanging="360"/>
      </w:pPr>
      <w:rPr>
        <w:rFonts w:hint="default"/>
        <w:lang w:val="en-GB" w:eastAsia="en-US" w:bidi="ar-SA"/>
      </w:rPr>
    </w:lvl>
    <w:lvl w:ilvl="2" w:tplc="CBFE8362">
      <w:numFmt w:val="bullet"/>
      <w:lvlText w:val="•"/>
      <w:lvlJc w:val="left"/>
      <w:pPr>
        <w:ind w:left="1106" w:hanging="360"/>
      </w:pPr>
      <w:rPr>
        <w:rFonts w:hint="default"/>
        <w:lang w:val="en-GB" w:eastAsia="en-US" w:bidi="ar-SA"/>
      </w:rPr>
    </w:lvl>
    <w:lvl w:ilvl="3" w:tplc="C2EECA24">
      <w:numFmt w:val="bullet"/>
      <w:lvlText w:val="•"/>
      <w:lvlJc w:val="left"/>
      <w:pPr>
        <w:ind w:left="1479" w:hanging="360"/>
      </w:pPr>
      <w:rPr>
        <w:rFonts w:hint="default"/>
        <w:lang w:val="en-GB" w:eastAsia="en-US" w:bidi="ar-SA"/>
      </w:rPr>
    </w:lvl>
    <w:lvl w:ilvl="4" w:tplc="83E2DE68">
      <w:numFmt w:val="bullet"/>
      <w:lvlText w:val="•"/>
      <w:lvlJc w:val="left"/>
      <w:pPr>
        <w:ind w:left="1852" w:hanging="360"/>
      </w:pPr>
      <w:rPr>
        <w:rFonts w:hint="default"/>
        <w:lang w:val="en-GB" w:eastAsia="en-US" w:bidi="ar-SA"/>
      </w:rPr>
    </w:lvl>
    <w:lvl w:ilvl="5" w:tplc="CFD6BA34">
      <w:numFmt w:val="bullet"/>
      <w:lvlText w:val="•"/>
      <w:lvlJc w:val="left"/>
      <w:pPr>
        <w:ind w:left="2225" w:hanging="360"/>
      </w:pPr>
      <w:rPr>
        <w:rFonts w:hint="default"/>
        <w:lang w:val="en-GB" w:eastAsia="en-US" w:bidi="ar-SA"/>
      </w:rPr>
    </w:lvl>
    <w:lvl w:ilvl="6" w:tplc="0590ABCA">
      <w:numFmt w:val="bullet"/>
      <w:lvlText w:val="•"/>
      <w:lvlJc w:val="left"/>
      <w:pPr>
        <w:ind w:left="2598" w:hanging="360"/>
      </w:pPr>
      <w:rPr>
        <w:rFonts w:hint="default"/>
        <w:lang w:val="en-GB" w:eastAsia="en-US" w:bidi="ar-SA"/>
      </w:rPr>
    </w:lvl>
    <w:lvl w:ilvl="7" w:tplc="F28EE9C0">
      <w:numFmt w:val="bullet"/>
      <w:lvlText w:val="•"/>
      <w:lvlJc w:val="left"/>
      <w:pPr>
        <w:ind w:left="2971" w:hanging="360"/>
      </w:pPr>
      <w:rPr>
        <w:rFonts w:hint="default"/>
        <w:lang w:val="en-GB" w:eastAsia="en-US" w:bidi="ar-SA"/>
      </w:rPr>
    </w:lvl>
    <w:lvl w:ilvl="8" w:tplc="EE12DBC8">
      <w:numFmt w:val="bullet"/>
      <w:lvlText w:val="•"/>
      <w:lvlJc w:val="left"/>
      <w:pPr>
        <w:ind w:left="3344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49371A1"/>
    <w:multiLevelType w:val="hybridMultilevel"/>
    <w:tmpl w:val="05F24DCC"/>
    <w:lvl w:ilvl="0" w:tplc="FFFFFFFF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464D808">
      <w:numFmt w:val="bullet"/>
      <w:lvlText w:val="•"/>
      <w:lvlJc w:val="left"/>
      <w:pPr>
        <w:ind w:left="931" w:hanging="360"/>
      </w:pPr>
      <w:rPr>
        <w:rFonts w:hint="default"/>
        <w:lang w:val="en-GB" w:eastAsia="en-US" w:bidi="ar-SA"/>
      </w:rPr>
    </w:lvl>
    <w:lvl w:ilvl="2" w:tplc="284E9D74">
      <w:numFmt w:val="bullet"/>
      <w:lvlText w:val="•"/>
      <w:lvlJc w:val="left"/>
      <w:pPr>
        <w:ind w:left="1503" w:hanging="360"/>
      </w:pPr>
      <w:rPr>
        <w:rFonts w:hint="default"/>
        <w:lang w:val="en-GB" w:eastAsia="en-US" w:bidi="ar-SA"/>
      </w:rPr>
    </w:lvl>
    <w:lvl w:ilvl="3" w:tplc="E4262102">
      <w:numFmt w:val="bullet"/>
      <w:lvlText w:val="•"/>
      <w:lvlJc w:val="left"/>
      <w:pPr>
        <w:ind w:left="2075" w:hanging="360"/>
      </w:pPr>
      <w:rPr>
        <w:rFonts w:hint="default"/>
        <w:lang w:val="en-GB" w:eastAsia="en-US" w:bidi="ar-SA"/>
      </w:rPr>
    </w:lvl>
    <w:lvl w:ilvl="4" w:tplc="BC662302">
      <w:numFmt w:val="bullet"/>
      <w:lvlText w:val="•"/>
      <w:lvlJc w:val="left"/>
      <w:pPr>
        <w:ind w:left="2647" w:hanging="360"/>
      </w:pPr>
      <w:rPr>
        <w:rFonts w:hint="default"/>
        <w:lang w:val="en-GB" w:eastAsia="en-US" w:bidi="ar-SA"/>
      </w:rPr>
    </w:lvl>
    <w:lvl w:ilvl="5" w:tplc="5FCA504E">
      <w:numFmt w:val="bullet"/>
      <w:lvlText w:val="•"/>
      <w:lvlJc w:val="left"/>
      <w:pPr>
        <w:ind w:left="3219" w:hanging="360"/>
      </w:pPr>
      <w:rPr>
        <w:rFonts w:hint="default"/>
        <w:lang w:val="en-GB" w:eastAsia="en-US" w:bidi="ar-SA"/>
      </w:rPr>
    </w:lvl>
    <w:lvl w:ilvl="6" w:tplc="15F82226">
      <w:numFmt w:val="bullet"/>
      <w:lvlText w:val="•"/>
      <w:lvlJc w:val="left"/>
      <w:pPr>
        <w:ind w:left="3790" w:hanging="360"/>
      </w:pPr>
      <w:rPr>
        <w:rFonts w:hint="default"/>
        <w:lang w:val="en-GB" w:eastAsia="en-US" w:bidi="ar-SA"/>
      </w:rPr>
    </w:lvl>
    <w:lvl w:ilvl="7" w:tplc="7BC81282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8" w:tplc="8842E8A2">
      <w:numFmt w:val="bullet"/>
      <w:lvlText w:val="•"/>
      <w:lvlJc w:val="left"/>
      <w:pPr>
        <w:ind w:left="4934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68C2A85"/>
    <w:multiLevelType w:val="hybridMultilevel"/>
    <w:tmpl w:val="C8D8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7CC9"/>
    <w:multiLevelType w:val="hybridMultilevel"/>
    <w:tmpl w:val="F3AE0972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27EE1A9B"/>
    <w:multiLevelType w:val="hybridMultilevel"/>
    <w:tmpl w:val="E27A20D4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31386322"/>
    <w:multiLevelType w:val="hybridMultilevel"/>
    <w:tmpl w:val="C2969DA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41423F0B"/>
    <w:multiLevelType w:val="hybridMultilevel"/>
    <w:tmpl w:val="0D1C7166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5BF3517C"/>
    <w:multiLevelType w:val="hybridMultilevel"/>
    <w:tmpl w:val="9F589E6C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665476BA"/>
    <w:multiLevelType w:val="hybridMultilevel"/>
    <w:tmpl w:val="3C062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809F9"/>
    <w:multiLevelType w:val="hybridMultilevel"/>
    <w:tmpl w:val="6932361A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76032FC6"/>
    <w:multiLevelType w:val="hybridMultilevel"/>
    <w:tmpl w:val="DCAC43CE"/>
    <w:lvl w:ilvl="0" w:tplc="FFFFFFFF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11686">
    <w:abstractNumId w:val="2"/>
  </w:num>
  <w:num w:numId="2" w16cid:durableId="1850287872">
    <w:abstractNumId w:val="1"/>
  </w:num>
  <w:num w:numId="3" w16cid:durableId="1046374441">
    <w:abstractNumId w:val="11"/>
  </w:num>
  <w:num w:numId="4" w16cid:durableId="715740120">
    <w:abstractNumId w:val="8"/>
  </w:num>
  <w:num w:numId="5" w16cid:durableId="1559977776">
    <w:abstractNumId w:val="0"/>
  </w:num>
  <w:num w:numId="6" w16cid:durableId="581719983">
    <w:abstractNumId w:val="3"/>
  </w:num>
  <w:num w:numId="7" w16cid:durableId="2063480930">
    <w:abstractNumId w:val="7"/>
  </w:num>
  <w:num w:numId="8" w16cid:durableId="98642944">
    <w:abstractNumId w:val="4"/>
  </w:num>
  <w:num w:numId="9" w16cid:durableId="1617564830">
    <w:abstractNumId w:val="5"/>
  </w:num>
  <w:num w:numId="10" w16cid:durableId="1415199845">
    <w:abstractNumId w:val="6"/>
  </w:num>
  <w:num w:numId="11" w16cid:durableId="1034385021">
    <w:abstractNumId w:val="10"/>
  </w:num>
  <w:num w:numId="12" w16cid:durableId="1448501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268"/>
    <w:rsid w:val="00001333"/>
    <w:rsid w:val="00002718"/>
    <w:rsid w:val="0003399E"/>
    <w:rsid w:val="00090096"/>
    <w:rsid w:val="00091066"/>
    <w:rsid w:val="000A51BC"/>
    <w:rsid w:val="000E1A2F"/>
    <w:rsid w:val="00103173"/>
    <w:rsid w:val="0012384A"/>
    <w:rsid w:val="001341A6"/>
    <w:rsid w:val="00146B6F"/>
    <w:rsid w:val="00154CE6"/>
    <w:rsid w:val="00163EED"/>
    <w:rsid w:val="00164308"/>
    <w:rsid w:val="00186891"/>
    <w:rsid w:val="001C0C33"/>
    <w:rsid w:val="001C2E7A"/>
    <w:rsid w:val="001D68FF"/>
    <w:rsid w:val="00221AF8"/>
    <w:rsid w:val="00236D34"/>
    <w:rsid w:val="00240602"/>
    <w:rsid w:val="00250D2A"/>
    <w:rsid w:val="00252B27"/>
    <w:rsid w:val="00261E20"/>
    <w:rsid w:val="002653F2"/>
    <w:rsid w:val="00265D81"/>
    <w:rsid w:val="002714C6"/>
    <w:rsid w:val="00280F35"/>
    <w:rsid w:val="0029784B"/>
    <w:rsid w:val="002A7A05"/>
    <w:rsid w:val="002B01BA"/>
    <w:rsid w:val="00300322"/>
    <w:rsid w:val="00310EDB"/>
    <w:rsid w:val="00330D72"/>
    <w:rsid w:val="00331B5D"/>
    <w:rsid w:val="003472E3"/>
    <w:rsid w:val="00353378"/>
    <w:rsid w:val="0039221E"/>
    <w:rsid w:val="003C480F"/>
    <w:rsid w:val="003D0E22"/>
    <w:rsid w:val="00407FF8"/>
    <w:rsid w:val="004100F5"/>
    <w:rsid w:val="00415A2B"/>
    <w:rsid w:val="00442153"/>
    <w:rsid w:val="00467225"/>
    <w:rsid w:val="00485D20"/>
    <w:rsid w:val="004A5266"/>
    <w:rsid w:val="004B6F64"/>
    <w:rsid w:val="004C3342"/>
    <w:rsid w:val="004D77EF"/>
    <w:rsid w:val="004F2B31"/>
    <w:rsid w:val="004F39D4"/>
    <w:rsid w:val="005153AC"/>
    <w:rsid w:val="005207C5"/>
    <w:rsid w:val="0055184A"/>
    <w:rsid w:val="00574379"/>
    <w:rsid w:val="005754AB"/>
    <w:rsid w:val="005C00DF"/>
    <w:rsid w:val="005E173A"/>
    <w:rsid w:val="006173F3"/>
    <w:rsid w:val="0066175B"/>
    <w:rsid w:val="00690E75"/>
    <w:rsid w:val="006A2E4B"/>
    <w:rsid w:val="006B63A5"/>
    <w:rsid w:val="006D118C"/>
    <w:rsid w:val="00704444"/>
    <w:rsid w:val="00722CF8"/>
    <w:rsid w:val="0073181C"/>
    <w:rsid w:val="00740300"/>
    <w:rsid w:val="00775867"/>
    <w:rsid w:val="00776DD8"/>
    <w:rsid w:val="007B4307"/>
    <w:rsid w:val="00802B7C"/>
    <w:rsid w:val="00814E95"/>
    <w:rsid w:val="008175D6"/>
    <w:rsid w:val="008375B2"/>
    <w:rsid w:val="0084289F"/>
    <w:rsid w:val="00850031"/>
    <w:rsid w:val="0086104A"/>
    <w:rsid w:val="00872AED"/>
    <w:rsid w:val="00874637"/>
    <w:rsid w:val="00877612"/>
    <w:rsid w:val="008B0A57"/>
    <w:rsid w:val="008D5268"/>
    <w:rsid w:val="008D7BF4"/>
    <w:rsid w:val="008E6BB1"/>
    <w:rsid w:val="0090051A"/>
    <w:rsid w:val="00911601"/>
    <w:rsid w:val="00912070"/>
    <w:rsid w:val="00913758"/>
    <w:rsid w:val="0097502E"/>
    <w:rsid w:val="009A53D2"/>
    <w:rsid w:val="009C311B"/>
    <w:rsid w:val="009E2827"/>
    <w:rsid w:val="00A23061"/>
    <w:rsid w:val="00A30123"/>
    <w:rsid w:val="00A4620D"/>
    <w:rsid w:val="00A74D92"/>
    <w:rsid w:val="00A9017B"/>
    <w:rsid w:val="00AA4F37"/>
    <w:rsid w:val="00AA7D10"/>
    <w:rsid w:val="00AB4E18"/>
    <w:rsid w:val="00AD0A05"/>
    <w:rsid w:val="00AD6A03"/>
    <w:rsid w:val="00B07F6B"/>
    <w:rsid w:val="00B23FE6"/>
    <w:rsid w:val="00B62B9F"/>
    <w:rsid w:val="00B67F89"/>
    <w:rsid w:val="00B71BDE"/>
    <w:rsid w:val="00B7440D"/>
    <w:rsid w:val="00B93028"/>
    <w:rsid w:val="00B9750E"/>
    <w:rsid w:val="00BA157B"/>
    <w:rsid w:val="00BB58D9"/>
    <w:rsid w:val="00BD0A45"/>
    <w:rsid w:val="00BE5132"/>
    <w:rsid w:val="00BF0455"/>
    <w:rsid w:val="00BF5B6E"/>
    <w:rsid w:val="00C4564E"/>
    <w:rsid w:val="00C4776C"/>
    <w:rsid w:val="00C675D1"/>
    <w:rsid w:val="00C87CD0"/>
    <w:rsid w:val="00CB3FE8"/>
    <w:rsid w:val="00CB4779"/>
    <w:rsid w:val="00CC409D"/>
    <w:rsid w:val="00CC465D"/>
    <w:rsid w:val="00CE1479"/>
    <w:rsid w:val="00CF1046"/>
    <w:rsid w:val="00CF6D59"/>
    <w:rsid w:val="00D13110"/>
    <w:rsid w:val="00D21378"/>
    <w:rsid w:val="00D26088"/>
    <w:rsid w:val="00D337E8"/>
    <w:rsid w:val="00D63F28"/>
    <w:rsid w:val="00D71C45"/>
    <w:rsid w:val="00D927C2"/>
    <w:rsid w:val="00D9342D"/>
    <w:rsid w:val="00D97890"/>
    <w:rsid w:val="00DB4630"/>
    <w:rsid w:val="00DE12C8"/>
    <w:rsid w:val="00DE5A4D"/>
    <w:rsid w:val="00DF7DED"/>
    <w:rsid w:val="00E02CB4"/>
    <w:rsid w:val="00E05CF0"/>
    <w:rsid w:val="00E14D99"/>
    <w:rsid w:val="00E259DD"/>
    <w:rsid w:val="00E328D6"/>
    <w:rsid w:val="00E55E6F"/>
    <w:rsid w:val="00E60662"/>
    <w:rsid w:val="00E632A1"/>
    <w:rsid w:val="00E85D49"/>
    <w:rsid w:val="00EA7049"/>
    <w:rsid w:val="00EE065A"/>
    <w:rsid w:val="00EF2CD2"/>
    <w:rsid w:val="00EF7BE1"/>
    <w:rsid w:val="00F05E55"/>
    <w:rsid w:val="00F06F52"/>
    <w:rsid w:val="00F11BA8"/>
    <w:rsid w:val="00F151E2"/>
    <w:rsid w:val="00F21187"/>
    <w:rsid w:val="00F24C3F"/>
    <w:rsid w:val="00F34621"/>
    <w:rsid w:val="00F65EAA"/>
    <w:rsid w:val="00F77736"/>
    <w:rsid w:val="00F949DE"/>
    <w:rsid w:val="00FA7370"/>
    <w:rsid w:val="00FA7E23"/>
    <w:rsid w:val="0174962E"/>
    <w:rsid w:val="019DAAE2"/>
    <w:rsid w:val="04294C82"/>
    <w:rsid w:val="0605DC4B"/>
    <w:rsid w:val="08F667D1"/>
    <w:rsid w:val="0B7C96B5"/>
    <w:rsid w:val="0BBC4615"/>
    <w:rsid w:val="0CCE8E80"/>
    <w:rsid w:val="0FA3E1CB"/>
    <w:rsid w:val="1163F8DA"/>
    <w:rsid w:val="12D33060"/>
    <w:rsid w:val="160AD122"/>
    <w:rsid w:val="17D33A5E"/>
    <w:rsid w:val="19737B16"/>
    <w:rsid w:val="1A1F05B3"/>
    <w:rsid w:val="1C298D16"/>
    <w:rsid w:val="1FC523E6"/>
    <w:rsid w:val="202A9603"/>
    <w:rsid w:val="23CB783F"/>
    <w:rsid w:val="24081924"/>
    <w:rsid w:val="241D3F24"/>
    <w:rsid w:val="2703E1AF"/>
    <w:rsid w:val="2B9A573C"/>
    <w:rsid w:val="2C2A1553"/>
    <w:rsid w:val="2DC5E5B4"/>
    <w:rsid w:val="2FEF5002"/>
    <w:rsid w:val="30BB690F"/>
    <w:rsid w:val="35AFD0C8"/>
    <w:rsid w:val="35D23BCF"/>
    <w:rsid w:val="35EEC586"/>
    <w:rsid w:val="365276BA"/>
    <w:rsid w:val="36EA8F39"/>
    <w:rsid w:val="38EFA2CF"/>
    <w:rsid w:val="3D3B06AE"/>
    <w:rsid w:val="40BFB61B"/>
    <w:rsid w:val="41C4E96A"/>
    <w:rsid w:val="44208BD9"/>
    <w:rsid w:val="4593F43B"/>
    <w:rsid w:val="465826B9"/>
    <w:rsid w:val="48CB94FD"/>
    <w:rsid w:val="4AB1BAC7"/>
    <w:rsid w:val="52537D7F"/>
    <w:rsid w:val="5285E7C1"/>
    <w:rsid w:val="54227237"/>
    <w:rsid w:val="552313D6"/>
    <w:rsid w:val="553B52AE"/>
    <w:rsid w:val="59DEA1CD"/>
    <w:rsid w:val="5B5823BE"/>
    <w:rsid w:val="5F003698"/>
    <w:rsid w:val="602B94E1"/>
    <w:rsid w:val="6445A77E"/>
    <w:rsid w:val="64C80D78"/>
    <w:rsid w:val="6A8202F2"/>
    <w:rsid w:val="6C210118"/>
    <w:rsid w:val="6E7F5FA0"/>
    <w:rsid w:val="7020AD3D"/>
    <w:rsid w:val="7084E932"/>
    <w:rsid w:val="7124A56E"/>
    <w:rsid w:val="7220B993"/>
    <w:rsid w:val="749A6DFC"/>
    <w:rsid w:val="78499892"/>
    <w:rsid w:val="7A9B9298"/>
    <w:rsid w:val="7A9D0EC3"/>
    <w:rsid w:val="7C3762F9"/>
    <w:rsid w:val="7C47780F"/>
    <w:rsid w:val="7CA0F239"/>
    <w:rsid w:val="7D7181FA"/>
    <w:rsid w:val="7DD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7C4BD"/>
  <w15:docId w15:val="{B01FFFE9-F347-4387-A4E6-2778A2B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2A9603"/>
    <w:rPr>
      <w:rFonts w:ascii="Arial" w:eastAsia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02A9603"/>
    <w:pPr>
      <w:keepNext/>
      <w:keepLines/>
      <w:spacing w:before="3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2A9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2A96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2A96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2A96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2A96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2A96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2A96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2A96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02A9603"/>
    <w:rPr>
      <w:sz w:val="28"/>
      <w:szCs w:val="28"/>
    </w:rPr>
  </w:style>
  <w:style w:type="paragraph" w:styleId="Title">
    <w:name w:val="Title"/>
    <w:basedOn w:val="Normal"/>
    <w:uiPriority w:val="10"/>
    <w:qFormat/>
    <w:rsid w:val="202A9603"/>
    <w:pPr>
      <w:spacing w:before="91"/>
      <w:ind w:left="25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202A9603"/>
  </w:style>
  <w:style w:type="paragraph" w:customStyle="1" w:styleId="TableParagraph">
    <w:name w:val="Table Paragraph"/>
    <w:basedOn w:val="Normal"/>
    <w:uiPriority w:val="1"/>
    <w:qFormat/>
    <w:rsid w:val="202A9603"/>
    <w:pPr>
      <w:ind w:left="153"/>
    </w:pPr>
  </w:style>
  <w:style w:type="paragraph" w:styleId="Header">
    <w:name w:val="header"/>
    <w:basedOn w:val="Normal"/>
    <w:link w:val="HeaderChar"/>
    <w:uiPriority w:val="99"/>
    <w:unhideWhenUsed/>
    <w:rsid w:val="202A9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202A9603"/>
    <w:rPr>
      <w:rFonts w:ascii="Arial" w:eastAsia="Arial" w:hAnsi="Arial" w:cs="Arial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02A9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202A9603"/>
    <w:rPr>
      <w:rFonts w:ascii="Arial" w:eastAsia="Arial" w:hAnsi="Arial" w:cs="Arial"/>
      <w:noProof w:val="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202A9603"/>
    <w:rPr>
      <w:rFonts w:ascii="Arial" w:eastAsiaTheme="majorEastAsia" w:hAnsi="Arial" w:cstheme="majorBidi"/>
      <w:b/>
      <w:bCs/>
      <w:noProof w:val="0"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D9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202A9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202A9603"/>
    <w:rPr>
      <w:rFonts w:ascii="Arial" w:eastAsia="Arial" w:hAnsi="Arial" w:cs="Arial"/>
      <w:noProof w:val="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02A9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02A9603"/>
    <w:rPr>
      <w:rFonts w:ascii="Arial" w:eastAsia="Arial" w:hAnsi="Arial" w:cs="Arial"/>
      <w:b/>
      <w:bCs/>
      <w:noProof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63F28"/>
    <w:pPr>
      <w:widowControl/>
      <w:autoSpaceDE/>
      <w:autoSpaceDN/>
    </w:pPr>
    <w:rPr>
      <w:rFonts w:ascii="Arial" w:eastAsia="Arial" w:hAnsi="Arial" w:cs="Arial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202A960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02A960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2A960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02A960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02A9603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02A960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02A9603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02A9603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02A9603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02A9603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02A960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02A9603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02A9603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02A9603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02A960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02A960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02A960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02A960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02A960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02A960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02A960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02A960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02A960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02A96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02A9603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02A96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02A9603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4E464-D775-4EB2-86D9-21F4CF771F17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D253BC2C-91EA-4DCE-B144-8D2D4FDC5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8080-0A49-4D76-A3AD-FC693AE02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KU40346</dc:creator>
  <cp:lastModifiedBy>Corcoran, Linda</cp:lastModifiedBy>
  <cp:revision>159</cp:revision>
  <dcterms:created xsi:type="dcterms:W3CDTF">2021-12-03T13:25:00Z</dcterms:created>
  <dcterms:modified xsi:type="dcterms:W3CDTF">2025-07-18T11:39:00Z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55e1b534-098f-4ac8-9223-69712ddf82de_Enabled">
    <vt:lpwstr>true</vt:lpwstr>
  </property>
  <property fmtid="{D5CDD505-2E9C-101B-9397-08002B2CF9AE}" pid="8" name="MSIP_Label_55e1b534-098f-4ac8-9223-69712ddf82de_SetDate">
    <vt:lpwstr>2024-05-09T10:43:17Z</vt:lpwstr>
  </property>
  <property fmtid="{D5CDD505-2E9C-101B-9397-08002B2CF9AE}" pid="9" name="MSIP_Label_55e1b534-098f-4ac8-9223-69712ddf82de_Method">
    <vt:lpwstr>Standard</vt:lpwstr>
  </property>
  <property fmtid="{D5CDD505-2E9C-101B-9397-08002B2CF9AE}" pid="10" name="MSIP_Label_55e1b534-098f-4ac8-9223-69712ddf82de_Name">
    <vt:lpwstr>Public Document</vt:lpwstr>
  </property>
  <property fmtid="{D5CDD505-2E9C-101B-9397-08002B2CF9AE}" pid="11" name="MSIP_Label_55e1b534-098f-4ac8-9223-69712ddf82de_SiteId">
    <vt:lpwstr>c9ef029c-18cf-4016-86d3-93cf8e94ff94</vt:lpwstr>
  </property>
  <property fmtid="{D5CDD505-2E9C-101B-9397-08002B2CF9AE}" pid="12" name="MSIP_Label_55e1b534-098f-4ac8-9223-69712ddf82de_ActionId">
    <vt:lpwstr>d0d66a57-00c5-433c-bad9-cd037fdcb06a</vt:lpwstr>
  </property>
  <property fmtid="{D5CDD505-2E9C-101B-9397-08002B2CF9AE}" pid="13" name="MSIP_Label_55e1b534-098f-4ac8-9223-69712ddf82de_ContentBits">
    <vt:lpwstr>0</vt:lpwstr>
  </property>
</Properties>
</file>