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5C64D" w14:textId="2B624EDB" w:rsidR="00362E57" w:rsidRPr="005008F2" w:rsidRDefault="00826CE7" w:rsidP="005008F2">
      <w:pPr>
        <w:pStyle w:val="Heading1"/>
        <w:jc w:val="center"/>
      </w:pPr>
      <w:r w:rsidRPr="00F126D4">
        <w:t xml:space="preserve">Guidance </w:t>
      </w:r>
      <w:r w:rsidR="00704954">
        <w:t>D</w:t>
      </w:r>
      <w:r w:rsidRPr="00F126D4">
        <w:t>G (i)</w:t>
      </w:r>
    </w:p>
    <w:p w14:paraId="4C36C776" w14:textId="2922CB05" w:rsidR="00826CE7" w:rsidRPr="005008F2" w:rsidRDefault="3DE5A0DE" w:rsidP="005008F2">
      <w:pPr>
        <w:pStyle w:val="Heading1"/>
        <w:jc w:val="center"/>
      </w:pPr>
      <w:r>
        <w:t xml:space="preserve">Key </w:t>
      </w:r>
      <w:r w:rsidR="4DE89396">
        <w:t xml:space="preserve">Performance Indicators </w:t>
      </w:r>
      <w:r w:rsidR="350E0CD8">
        <w:t xml:space="preserve">(KPIs) </w:t>
      </w:r>
      <w:r>
        <w:t xml:space="preserve">and Key Monitoring Information </w:t>
      </w:r>
      <w:r w:rsidR="350E0CD8">
        <w:t xml:space="preserve">(KMI) </w:t>
      </w:r>
      <w:r w:rsidR="4DE89396">
        <w:t xml:space="preserve">for </w:t>
      </w:r>
      <w:r w:rsidR="00FD0F23">
        <w:t>the Kingston Continuous Enhancement Process</w:t>
      </w:r>
    </w:p>
    <w:p w14:paraId="6E0518D4" w14:textId="77777777" w:rsidR="00E86137" w:rsidRDefault="00E86137" w:rsidP="00CA0527">
      <w:pPr>
        <w:pStyle w:val="Heading2"/>
      </w:pPr>
    </w:p>
    <w:p w14:paraId="6DA47143" w14:textId="377E7801" w:rsidR="00E41195" w:rsidRDefault="00764DB1" w:rsidP="00CA0527">
      <w:pPr>
        <w:pStyle w:val="Heading2"/>
      </w:pPr>
      <w:r>
        <w:t xml:space="preserve">Introduction </w:t>
      </w:r>
    </w:p>
    <w:p w14:paraId="451C2174" w14:textId="5004E0B3" w:rsidR="00515447" w:rsidRPr="005008F2" w:rsidRDefault="79CE5518" w:rsidP="005008F2">
      <w:r w:rsidRPr="00764DB1">
        <w:rPr>
          <w:rFonts w:cs="Arial"/>
          <w:b/>
          <w:bCs/>
          <w:sz w:val="22"/>
          <w:szCs w:val="22"/>
          <w:lang w:eastAsia="en-GB"/>
        </w:rPr>
        <w:t>K</w:t>
      </w:r>
      <w:r w:rsidRPr="00764DB1">
        <w:rPr>
          <w:b/>
          <w:bCs/>
        </w:rPr>
        <w:t>ey Monitoring Information (KMI)</w:t>
      </w:r>
      <w:r>
        <w:t xml:space="preserve"> is a suite of qualitative and quantitative information that</w:t>
      </w:r>
      <w:r w:rsidR="069D0DC4">
        <w:t xml:space="preserve"> is available to module and </w:t>
      </w:r>
      <w:r>
        <w:t>course teams</w:t>
      </w:r>
      <w:r w:rsidR="069D0DC4">
        <w:t xml:space="preserve"> </w:t>
      </w:r>
      <w:r>
        <w:t>and is designed to assist in the on-going monitoring of quality and standards.  KMI includes, but is not limited to:</w:t>
      </w:r>
    </w:p>
    <w:p w14:paraId="633C366E" w14:textId="77777777" w:rsidR="00515447" w:rsidRDefault="00515447" w:rsidP="005008F2">
      <w:pPr>
        <w:numPr>
          <w:ilvl w:val="0"/>
          <w:numId w:val="10"/>
        </w:numPr>
        <w:rPr>
          <w:lang w:eastAsia="en-GB"/>
        </w:rPr>
      </w:pPr>
      <w:r>
        <w:rPr>
          <w:lang w:eastAsia="en-GB"/>
        </w:rPr>
        <w:t xml:space="preserve">External </w:t>
      </w:r>
      <w:r w:rsidR="00930173">
        <w:rPr>
          <w:lang w:eastAsia="en-GB"/>
        </w:rPr>
        <w:t>e</w:t>
      </w:r>
      <w:r>
        <w:rPr>
          <w:lang w:eastAsia="en-GB"/>
        </w:rPr>
        <w:t>xaminer reports and responses</w:t>
      </w:r>
    </w:p>
    <w:p w14:paraId="18010B41" w14:textId="77777777" w:rsidR="00515447" w:rsidRDefault="00515447" w:rsidP="005008F2">
      <w:pPr>
        <w:numPr>
          <w:ilvl w:val="0"/>
          <w:numId w:val="10"/>
        </w:numPr>
        <w:rPr>
          <w:lang w:eastAsia="en-GB"/>
        </w:rPr>
      </w:pPr>
      <w:r>
        <w:rPr>
          <w:lang w:eastAsia="en-GB"/>
        </w:rPr>
        <w:t>Reports from PSRBs</w:t>
      </w:r>
    </w:p>
    <w:p w14:paraId="7B1988AA" w14:textId="52D87301" w:rsidR="00515447" w:rsidRDefault="79CE5518" w:rsidP="005008F2">
      <w:pPr>
        <w:numPr>
          <w:ilvl w:val="0"/>
          <w:numId w:val="10"/>
        </w:numPr>
        <w:rPr>
          <w:lang w:eastAsia="en-GB"/>
        </w:rPr>
      </w:pPr>
      <w:r w:rsidRPr="3A9CF5F4">
        <w:rPr>
          <w:lang w:eastAsia="en-GB"/>
        </w:rPr>
        <w:t>Outcomes of Substantive Reviews and subsequent action plans</w:t>
      </w:r>
    </w:p>
    <w:p w14:paraId="1D9CC99C" w14:textId="77777777" w:rsidR="00515447" w:rsidRDefault="00515447" w:rsidP="005008F2">
      <w:pPr>
        <w:numPr>
          <w:ilvl w:val="0"/>
          <w:numId w:val="10"/>
        </w:numPr>
        <w:rPr>
          <w:lang w:eastAsia="en-GB"/>
        </w:rPr>
      </w:pPr>
      <w:r>
        <w:rPr>
          <w:lang w:eastAsia="en-GB"/>
        </w:rPr>
        <w:t>Student feedback</w:t>
      </w:r>
    </w:p>
    <w:p w14:paraId="22EF3639" w14:textId="77777777" w:rsidR="00515447" w:rsidRDefault="00515447" w:rsidP="005008F2">
      <w:pPr>
        <w:numPr>
          <w:ilvl w:val="0"/>
          <w:numId w:val="11"/>
        </w:numPr>
        <w:rPr>
          <w:lang w:eastAsia="en-GB"/>
        </w:rPr>
      </w:pPr>
      <w:r>
        <w:rPr>
          <w:lang w:eastAsia="en-GB"/>
        </w:rPr>
        <w:t>National Student Survey results</w:t>
      </w:r>
    </w:p>
    <w:p w14:paraId="6D32D749" w14:textId="4DB2F0C1" w:rsidR="00515447" w:rsidRDefault="00515447" w:rsidP="005008F2">
      <w:pPr>
        <w:numPr>
          <w:ilvl w:val="0"/>
          <w:numId w:val="11"/>
        </w:numPr>
        <w:rPr>
          <w:lang w:eastAsia="en-GB"/>
        </w:rPr>
      </w:pPr>
      <w:r>
        <w:rPr>
          <w:lang w:eastAsia="en-GB"/>
        </w:rPr>
        <w:t xml:space="preserve">Feedback from course and senior course representatives via </w:t>
      </w:r>
      <w:r w:rsidR="00C2473A">
        <w:rPr>
          <w:lang w:eastAsia="en-GB"/>
        </w:rPr>
        <w:t>Student Voice Committees (SVCs)</w:t>
      </w:r>
    </w:p>
    <w:p w14:paraId="5279F804" w14:textId="77777777" w:rsidR="00515447" w:rsidRDefault="00515447" w:rsidP="005008F2">
      <w:pPr>
        <w:numPr>
          <w:ilvl w:val="0"/>
          <w:numId w:val="11"/>
        </w:numPr>
        <w:rPr>
          <w:lang w:eastAsia="en-GB"/>
        </w:rPr>
      </w:pPr>
      <w:r>
        <w:rPr>
          <w:lang w:eastAsia="en-GB"/>
        </w:rPr>
        <w:t>Feedback from early module review</w:t>
      </w:r>
    </w:p>
    <w:p w14:paraId="2C2C8BE5" w14:textId="5F1C31D6" w:rsidR="00515447" w:rsidRDefault="00515447" w:rsidP="005008F2">
      <w:pPr>
        <w:numPr>
          <w:ilvl w:val="0"/>
          <w:numId w:val="10"/>
        </w:numPr>
        <w:rPr>
          <w:lang w:eastAsia="en-GB"/>
        </w:rPr>
      </w:pPr>
      <w:r w:rsidRPr="00515447">
        <w:rPr>
          <w:lang w:eastAsia="en-GB"/>
        </w:rPr>
        <w:t xml:space="preserve">Results from the </w:t>
      </w:r>
      <w:r w:rsidR="00362E57">
        <w:rPr>
          <w:lang w:eastAsia="en-GB"/>
        </w:rPr>
        <w:t>Employability data/</w:t>
      </w:r>
      <w:r w:rsidR="002F6DE3">
        <w:rPr>
          <w:lang w:eastAsia="en-GB"/>
        </w:rPr>
        <w:t>Graduate Outcomes</w:t>
      </w:r>
    </w:p>
    <w:p w14:paraId="43FF8CE2" w14:textId="57B0C039" w:rsidR="002F6DE3" w:rsidRDefault="00515447" w:rsidP="005008F2">
      <w:pPr>
        <w:numPr>
          <w:ilvl w:val="0"/>
          <w:numId w:val="10"/>
        </w:numPr>
        <w:rPr>
          <w:lang w:eastAsia="en-GB"/>
        </w:rPr>
      </w:pPr>
      <w:r>
        <w:rPr>
          <w:lang w:eastAsia="en-GB"/>
        </w:rPr>
        <w:t>Contract monitoring (where applicable)</w:t>
      </w:r>
    </w:p>
    <w:p w14:paraId="6D120DAF" w14:textId="32CB309C" w:rsidR="005204BB" w:rsidRPr="005008F2" w:rsidRDefault="069D0DC4" w:rsidP="005008F2">
      <w:pPr>
        <w:numPr>
          <w:ilvl w:val="0"/>
          <w:numId w:val="10"/>
        </w:numPr>
        <w:rPr>
          <w:lang w:eastAsia="en-GB"/>
        </w:rPr>
      </w:pPr>
      <w:r w:rsidRPr="3A9CF5F4">
        <w:rPr>
          <w:lang w:eastAsia="en-GB"/>
        </w:rPr>
        <w:t>Course and module data (see below)</w:t>
      </w:r>
    </w:p>
    <w:p w14:paraId="3FE71CC1" w14:textId="77777777" w:rsidR="00764DB1" w:rsidRDefault="00764DB1" w:rsidP="005008F2"/>
    <w:p w14:paraId="741014C3" w14:textId="0C80AFDB" w:rsidR="00826CE7" w:rsidRPr="005008F2" w:rsidRDefault="3DE5A0DE" w:rsidP="005008F2">
      <w:pPr>
        <w:rPr>
          <w:lang w:eastAsia="en-GB"/>
        </w:rPr>
      </w:pPr>
      <w:r w:rsidRPr="00764DB1">
        <w:rPr>
          <w:b/>
          <w:bCs/>
        </w:rPr>
        <w:t>Key Performance I</w:t>
      </w:r>
      <w:r w:rsidR="4DE89396" w:rsidRPr="00764DB1">
        <w:rPr>
          <w:b/>
          <w:bCs/>
        </w:rPr>
        <w:t xml:space="preserve">ndicators </w:t>
      </w:r>
      <w:r w:rsidRPr="00764DB1">
        <w:rPr>
          <w:b/>
          <w:bCs/>
        </w:rPr>
        <w:t>(KPIs)</w:t>
      </w:r>
      <w:r>
        <w:t xml:space="preserve"> </w:t>
      </w:r>
      <w:r w:rsidR="4DE89396">
        <w:t xml:space="preserve">are used to check that, where quality or standards might be at risk, </w:t>
      </w:r>
      <w:r w:rsidR="289ECAF6">
        <w:t xml:space="preserve">module teams, course teams and </w:t>
      </w:r>
      <w:r w:rsidR="4DE89396">
        <w:t xml:space="preserve">schools have in place appropriate action plans to address the possible risk. </w:t>
      </w:r>
      <w:r w:rsidR="026CEA52">
        <w:t xml:space="preserve"> All modules and courses are benchmarked against the core set of KPIs (see below).  </w:t>
      </w:r>
      <w:r w:rsidR="4DE89396">
        <w:t xml:space="preserve"> It must be emphasised that this is an exceptional audit process based on available information.</w:t>
      </w:r>
      <w:r w:rsidR="79CE5518">
        <w:t xml:space="preserve">  KPIs provid</w:t>
      </w:r>
      <w:r w:rsidR="7D881045">
        <w:t>e one part of the Key Monitoring</w:t>
      </w:r>
      <w:r w:rsidR="79CE5518">
        <w:t xml:space="preserve"> Information (KMIs) that informs action planning.  </w:t>
      </w:r>
    </w:p>
    <w:p w14:paraId="27D790FC" w14:textId="22DA0F82" w:rsidR="00362E57" w:rsidRPr="005008F2" w:rsidRDefault="4DE89396" w:rsidP="3A9CF5F4">
      <w:pPr>
        <w:rPr>
          <w:i/>
          <w:iCs/>
        </w:rPr>
      </w:pPr>
      <w:r>
        <w:t xml:space="preserve">It is recognised that when using the performance indicators listed below, different subjects will have different expectations of performance measures and that there can be good reasons for an indicator falling outside the ranges identified, for example small sample sizes.  However, module teams, </w:t>
      </w:r>
      <w:r w:rsidR="42585B33">
        <w:t xml:space="preserve">course teams, </w:t>
      </w:r>
      <w:r>
        <w:t>Heads of School and faculties should consider whet</w:t>
      </w:r>
      <w:r w:rsidR="2E6FE6F3">
        <w:t>her the reasons are justified</w:t>
      </w:r>
      <w:r w:rsidR="5A9A2D43">
        <w:t>.</w:t>
      </w:r>
      <w:r>
        <w:t xml:space="preserve"> </w:t>
      </w:r>
    </w:p>
    <w:p w14:paraId="6932992D" w14:textId="77777777" w:rsidR="003678F0" w:rsidRDefault="003678F0">
      <w:pPr>
        <w:widowControl/>
        <w:spacing w:before="0" w:after="0"/>
        <w:rPr>
          <w:b/>
          <w:snapToGrid/>
          <w:szCs w:val="24"/>
          <w:lang w:eastAsia="en-GB"/>
        </w:rPr>
      </w:pPr>
      <w:r>
        <w:rPr>
          <w:szCs w:val="24"/>
        </w:rPr>
        <w:br w:type="page"/>
      </w:r>
    </w:p>
    <w:p w14:paraId="5C17EF40" w14:textId="424EEEF9" w:rsidR="009C2E4F" w:rsidRPr="002B151C" w:rsidRDefault="4DE89396" w:rsidP="005008F2">
      <w:pPr>
        <w:pStyle w:val="Heading2"/>
        <w:rPr>
          <w:sz w:val="24"/>
          <w:szCs w:val="24"/>
        </w:rPr>
      </w:pPr>
      <w:r w:rsidRPr="002B151C">
        <w:rPr>
          <w:sz w:val="24"/>
          <w:szCs w:val="24"/>
        </w:rPr>
        <w:lastRenderedPageBreak/>
        <w:t xml:space="preserve">Module level </w:t>
      </w:r>
      <w:r w:rsidR="026CEA52" w:rsidRPr="002B151C">
        <w:rPr>
          <w:sz w:val="24"/>
          <w:szCs w:val="24"/>
        </w:rPr>
        <w:t>K</w:t>
      </w:r>
      <w:r w:rsidR="6C87E452" w:rsidRPr="002B151C">
        <w:rPr>
          <w:sz w:val="24"/>
          <w:szCs w:val="24"/>
        </w:rPr>
        <w:t xml:space="preserve">ey </w:t>
      </w:r>
      <w:r w:rsidR="026CEA52" w:rsidRPr="002B151C">
        <w:rPr>
          <w:sz w:val="24"/>
          <w:szCs w:val="24"/>
        </w:rPr>
        <w:t>P</w:t>
      </w:r>
      <w:r w:rsidR="6C87E452" w:rsidRPr="002B151C">
        <w:rPr>
          <w:sz w:val="24"/>
          <w:szCs w:val="24"/>
        </w:rPr>
        <w:t xml:space="preserve">erformance </w:t>
      </w:r>
      <w:r w:rsidR="026CEA52" w:rsidRPr="002B151C">
        <w:rPr>
          <w:sz w:val="24"/>
          <w:szCs w:val="24"/>
        </w:rPr>
        <w:t>I</w:t>
      </w:r>
      <w:r w:rsidR="6C87E452" w:rsidRPr="002B151C">
        <w:rPr>
          <w:sz w:val="24"/>
          <w:szCs w:val="24"/>
        </w:rPr>
        <w:t>ndicator</w:t>
      </w:r>
      <w:r w:rsidR="026CEA52" w:rsidRPr="002B151C">
        <w:rPr>
          <w:sz w:val="24"/>
          <w:szCs w:val="24"/>
        </w:rPr>
        <w:t xml:space="preserve">s </w:t>
      </w:r>
      <w:r w:rsidR="6C87E452" w:rsidRPr="002B151C">
        <w:rPr>
          <w:sz w:val="24"/>
          <w:szCs w:val="24"/>
        </w:rPr>
        <w:t>(KPIs)</w:t>
      </w:r>
    </w:p>
    <w:tbl>
      <w:tblPr>
        <w:tblStyle w:val="TableGrid"/>
        <w:tblW w:w="0" w:type="auto"/>
        <w:tblLook w:val="04A0" w:firstRow="1" w:lastRow="0" w:firstColumn="1" w:lastColumn="0" w:noHBand="0" w:noVBand="1"/>
      </w:tblPr>
      <w:tblGrid>
        <w:gridCol w:w="7938"/>
      </w:tblGrid>
      <w:tr w:rsidR="00400447" w14:paraId="7B2AE0D2" w14:textId="77777777" w:rsidTr="3A9CF5F4">
        <w:tc>
          <w:tcPr>
            <w:tcW w:w="7938" w:type="dxa"/>
          </w:tcPr>
          <w:p w14:paraId="1D4248F6" w14:textId="77777777" w:rsidR="00400447" w:rsidRPr="00FE2D73" w:rsidRDefault="00400447" w:rsidP="005008F2">
            <w:pPr>
              <w:rPr>
                <w:b/>
              </w:rPr>
            </w:pPr>
            <w:r w:rsidRPr="00FE2D73">
              <w:t>More than 20% of level 3 or level 4 students fail the module at the first attempt</w:t>
            </w:r>
          </w:p>
        </w:tc>
      </w:tr>
      <w:tr w:rsidR="00400447" w14:paraId="1E51BF17" w14:textId="77777777" w:rsidTr="3A9CF5F4">
        <w:tc>
          <w:tcPr>
            <w:tcW w:w="7938" w:type="dxa"/>
          </w:tcPr>
          <w:p w14:paraId="36FFE53B" w14:textId="77777777" w:rsidR="00400447" w:rsidRPr="00FE2D73" w:rsidRDefault="00400447" w:rsidP="005008F2">
            <w:pPr>
              <w:rPr>
                <w:b/>
              </w:rPr>
            </w:pPr>
            <w:r w:rsidRPr="00FE2D73">
              <w:t>More than 15% of level 5 students fail the module at the first attempt</w:t>
            </w:r>
          </w:p>
        </w:tc>
      </w:tr>
      <w:tr w:rsidR="00400447" w14:paraId="69612F1D" w14:textId="77777777" w:rsidTr="3A9CF5F4">
        <w:tc>
          <w:tcPr>
            <w:tcW w:w="7938" w:type="dxa"/>
          </w:tcPr>
          <w:p w14:paraId="411C926C" w14:textId="77777777" w:rsidR="00400447" w:rsidRPr="00FE2D73" w:rsidRDefault="00400447" w:rsidP="005008F2">
            <w:pPr>
              <w:rPr>
                <w:b/>
              </w:rPr>
            </w:pPr>
            <w:r w:rsidRPr="00FE2D73">
              <w:t>More than 10% of level 6 students fail the module at first attempt</w:t>
            </w:r>
          </w:p>
        </w:tc>
      </w:tr>
      <w:tr w:rsidR="00400447" w14:paraId="64526963" w14:textId="77777777" w:rsidTr="3A9CF5F4">
        <w:tc>
          <w:tcPr>
            <w:tcW w:w="7938" w:type="dxa"/>
          </w:tcPr>
          <w:p w14:paraId="505969B7" w14:textId="77777777" w:rsidR="00400447" w:rsidRPr="00FE2D73" w:rsidRDefault="00400447" w:rsidP="005008F2">
            <w:r w:rsidRPr="00FE2D73">
              <w:t>More than 5% of level 7 (UG awards) fail the module at the first attempt</w:t>
            </w:r>
          </w:p>
        </w:tc>
      </w:tr>
      <w:tr w:rsidR="00400447" w14:paraId="7891F759" w14:textId="77777777" w:rsidTr="3A9CF5F4">
        <w:tc>
          <w:tcPr>
            <w:tcW w:w="7938" w:type="dxa"/>
          </w:tcPr>
          <w:p w14:paraId="48A1F3D3" w14:textId="77777777" w:rsidR="00400447" w:rsidRPr="00FE2D73" w:rsidRDefault="00400447" w:rsidP="005008F2">
            <w:r w:rsidRPr="00FE2D73">
              <w:t>More than 5% of level 7 (PG awards) fail the module at the first attempt</w:t>
            </w:r>
          </w:p>
        </w:tc>
      </w:tr>
    </w:tbl>
    <w:p w14:paraId="4B4DEF52" w14:textId="77777777" w:rsidR="00270BD5" w:rsidRDefault="00270BD5" w:rsidP="005008F2"/>
    <w:p w14:paraId="11EE37CB" w14:textId="154ABAB7" w:rsidR="005204BB" w:rsidRDefault="005204BB" w:rsidP="005008F2">
      <w:r>
        <w:t>In addition, the MEP will provide the following</w:t>
      </w:r>
      <w:r w:rsidR="00623EAC">
        <w:t>:</w:t>
      </w:r>
    </w:p>
    <w:p w14:paraId="5B7F5747" w14:textId="77777777" w:rsidR="003678F0" w:rsidRDefault="003678F0" w:rsidP="005008F2"/>
    <w:p w14:paraId="7ADF32B8" w14:textId="77777777" w:rsidR="002F6DE3" w:rsidRPr="00362E57" w:rsidRDefault="002F6DE3" w:rsidP="005008F2">
      <w:pPr>
        <w:numPr>
          <w:ilvl w:val="0"/>
          <w:numId w:val="13"/>
        </w:numPr>
        <w:rPr>
          <w:lang w:eastAsia="en-GB"/>
        </w:rPr>
      </w:pPr>
      <w:r w:rsidRPr="00362E57">
        <w:rPr>
          <w:lang w:eastAsia="en-GB"/>
        </w:rPr>
        <w:t>Module pass rate at first attempt</w:t>
      </w:r>
    </w:p>
    <w:p w14:paraId="5FA9C416" w14:textId="77777777" w:rsidR="005204BB" w:rsidRPr="00362E57" w:rsidRDefault="005204BB" w:rsidP="005008F2">
      <w:pPr>
        <w:numPr>
          <w:ilvl w:val="0"/>
          <w:numId w:val="13"/>
        </w:numPr>
        <w:rPr>
          <w:lang w:eastAsia="en-GB"/>
        </w:rPr>
      </w:pPr>
      <w:r w:rsidRPr="00362E57">
        <w:rPr>
          <w:lang w:eastAsia="en-GB"/>
        </w:rPr>
        <w:t>Total number of students</w:t>
      </w:r>
    </w:p>
    <w:p w14:paraId="0ED47AF4" w14:textId="77777777" w:rsidR="005204BB" w:rsidRPr="00362E57" w:rsidRDefault="005204BB" w:rsidP="005008F2">
      <w:pPr>
        <w:numPr>
          <w:ilvl w:val="0"/>
          <w:numId w:val="13"/>
        </w:numPr>
        <w:rPr>
          <w:lang w:eastAsia="en-GB"/>
        </w:rPr>
      </w:pPr>
      <w:r w:rsidRPr="00362E57">
        <w:rPr>
          <w:lang w:eastAsia="en-GB"/>
        </w:rPr>
        <w:t>Total Pass</w:t>
      </w:r>
      <w:r w:rsidR="002F6DE3" w:rsidRPr="00362E57">
        <w:rPr>
          <w:lang w:eastAsia="en-GB"/>
        </w:rPr>
        <w:t xml:space="preserve"> following reassessment</w:t>
      </w:r>
    </w:p>
    <w:p w14:paraId="087D98E4" w14:textId="77777777" w:rsidR="005204BB" w:rsidRPr="00362E57" w:rsidRDefault="005204BB" w:rsidP="005008F2">
      <w:pPr>
        <w:numPr>
          <w:ilvl w:val="0"/>
          <w:numId w:val="13"/>
        </w:numPr>
        <w:rPr>
          <w:lang w:eastAsia="en-GB"/>
        </w:rPr>
      </w:pPr>
      <w:r w:rsidRPr="00362E57">
        <w:rPr>
          <w:lang w:eastAsia="en-GB"/>
        </w:rPr>
        <w:t>Total with mitigating circumstances</w:t>
      </w:r>
    </w:p>
    <w:p w14:paraId="555F29C9" w14:textId="77777777" w:rsidR="005204BB" w:rsidRPr="00362E57" w:rsidRDefault="005204BB" w:rsidP="005008F2">
      <w:pPr>
        <w:numPr>
          <w:ilvl w:val="0"/>
          <w:numId w:val="13"/>
        </w:numPr>
        <w:rPr>
          <w:lang w:eastAsia="en-GB"/>
        </w:rPr>
      </w:pPr>
      <w:r w:rsidRPr="00362E57">
        <w:rPr>
          <w:lang w:eastAsia="en-GB"/>
        </w:rPr>
        <w:t>Total Fail (excluding F0(0))</w:t>
      </w:r>
    </w:p>
    <w:p w14:paraId="3ED2DE62" w14:textId="77777777" w:rsidR="005204BB" w:rsidRPr="00362E57" w:rsidRDefault="005204BB" w:rsidP="005008F2">
      <w:pPr>
        <w:numPr>
          <w:ilvl w:val="0"/>
          <w:numId w:val="13"/>
        </w:numPr>
        <w:rPr>
          <w:lang w:eastAsia="en-GB"/>
        </w:rPr>
      </w:pPr>
      <w:r w:rsidRPr="00362E57">
        <w:rPr>
          <w:lang w:eastAsia="en-GB"/>
        </w:rPr>
        <w:t>Total F0(0)</w:t>
      </w:r>
    </w:p>
    <w:p w14:paraId="3AAA31B0" w14:textId="77777777" w:rsidR="005204BB" w:rsidRPr="00362E57" w:rsidRDefault="005204BB" w:rsidP="005008F2">
      <w:pPr>
        <w:numPr>
          <w:ilvl w:val="0"/>
          <w:numId w:val="13"/>
        </w:numPr>
        <w:rPr>
          <w:lang w:eastAsia="en-GB"/>
        </w:rPr>
      </w:pPr>
      <w:r w:rsidRPr="00362E57">
        <w:rPr>
          <w:lang w:eastAsia="en-GB"/>
        </w:rPr>
        <w:t>Total withdrawn</w:t>
      </w:r>
    </w:p>
    <w:p w14:paraId="2E410FD8" w14:textId="77777777" w:rsidR="005204BB" w:rsidRPr="00362E57" w:rsidRDefault="005204BB" w:rsidP="005008F2">
      <w:pPr>
        <w:numPr>
          <w:ilvl w:val="0"/>
          <w:numId w:val="13"/>
        </w:numPr>
        <w:rPr>
          <w:lang w:eastAsia="en-GB"/>
        </w:rPr>
      </w:pPr>
      <w:r w:rsidRPr="00362E57">
        <w:rPr>
          <w:lang w:eastAsia="en-GB"/>
        </w:rPr>
        <w:t>Minimum mark (excluding F0(0))</w:t>
      </w:r>
    </w:p>
    <w:p w14:paraId="1109A252" w14:textId="77777777" w:rsidR="005204BB" w:rsidRPr="00362E57" w:rsidRDefault="005204BB" w:rsidP="005008F2">
      <w:pPr>
        <w:numPr>
          <w:ilvl w:val="0"/>
          <w:numId w:val="13"/>
        </w:numPr>
        <w:rPr>
          <w:lang w:eastAsia="en-GB"/>
        </w:rPr>
      </w:pPr>
      <w:r w:rsidRPr="00362E57">
        <w:rPr>
          <w:lang w:eastAsia="en-GB"/>
        </w:rPr>
        <w:t>Maximum mark</w:t>
      </w:r>
    </w:p>
    <w:p w14:paraId="39A4D6E4" w14:textId="77777777" w:rsidR="005204BB" w:rsidRPr="00362E57" w:rsidRDefault="005204BB" w:rsidP="005008F2">
      <w:pPr>
        <w:numPr>
          <w:ilvl w:val="0"/>
          <w:numId w:val="13"/>
        </w:numPr>
        <w:rPr>
          <w:lang w:eastAsia="en-GB"/>
        </w:rPr>
      </w:pPr>
      <w:r w:rsidRPr="00362E57">
        <w:rPr>
          <w:lang w:eastAsia="en-GB"/>
        </w:rPr>
        <w:t>Average module mark (excluding F0(0), Mitigating Circumstances and Withdrawn)</w:t>
      </w:r>
    </w:p>
    <w:p w14:paraId="03D4BE07" w14:textId="77777777" w:rsidR="005204BB" w:rsidRPr="00362E57" w:rsidRDefault="005204BB" w:rsidP="005008F2">
      <w:pPr>
        <w:numPr>
          <w:ilvl w:val="0"/>
          <w:numId w:val="13"/>
        </w:numPr>
        <w:rPr>
          <w:lang w:eastAsia="en-GB"/>
        </w:rPr>
      </w:pPr>
      <w:r w:rsidRPr="00362E57">
        <w:rPr>
          <w:lang w:eastAsia="en-GB"/>
        </w:rPr>
        <w:t>Standard deviation for the module (excluding F0(0), Mitigating Circumstances and Withdrawn)</w:t>
      </w:r>
    </w:p>
    <w:p w14:paraId="138AB3D0" w14:textId="77777777" w:rsidR="00DE5AB1" w:rsidRPr="00362E57" w:rsidRDefault="00A557BD" w:rsidP="005008F2">
      <w:pPr>
        <w:numPr>
          <w:ilvl w:val="0"/>
          <w:numId w:val="13"/>
        </w:numPr>
        <w:rPr>
          <w:lang w:eastAsia="en-GB"/>
        </w:rPr>
      </w:pPr>
      <w:r w:rsidRPr="00362E57">
        <w:rPr>
          <w:lang w:eastAsia="en-GB"/>
        </w:rPr>
        <w:t>The average mark for each element and the average mark for each element minus F0(0), Mitigating Circumstances and Withdrawn</w:t>
      </w:r>
    </w:p>
    <w:p w14:paraId="4BE0345E" w14:textId="1DD01E98" w:rsidR="005204BB" w:rsidRPr="005008F2" w:rsidRDefault="00DE5AB1" w:rsidP="00826CE7">
      <w:pPr>
        <w:numPr>
          <w:ilvl w:val="0"/>
          <w:numId w:val="13"/>
        </w:numPr>
        <w:rPr>
          <w:bCs/>
        </w:rPr>
      </w:pPr>
      <w:r w:rsidRPr="00362E57">
        <w:rPr>
          <w:lang w:eastAsia="en-GB"/>
        </w:rPr>
        <w:t>Results from the Module Evaluation Questionnaire (MEQ), where threshold levels have been achieved for publication.</w:t>
      </w:r>
      <w:r w:rsidR="005204BB" w:rsidRPr="005204BB">
        <w:rPr>
          <w:bCs/>
        </w:rPr>
        <w:tab/>
      </w:r>
    </w:p>
    <w:p w14:paraId="32041DDB" w14:textId="77777777" w:rsidR="005F6304" w:rsidRDefault="005F6304" w:rsidP="005008F2"/>
    <w:p w14:paraId="31FBF5D4" w14:textId="77777777" w:rsidR="003678F0" w:rsidRDefault="003678F0">
      <w:pPr>
        <w:widowControl/>
        <w:spacing w:before="0" w:after="0"/>
      </w:pPr>
      <w:r>
        <w:br w:type="page"/>
      </w:r>
    </w:p>
    <w:p w14:paraId="5ABF8D1D" w14:textId="3F44158F" w:rsidR="00062CFE" w:rsidRDefault="002F6DE3" w:rsidP="005008F2">
      <w:r>
        <w:lastRenderedPageBreak/>
        <w:t>I</w:t>
      </w:r>
      <w:r w:rsidR="00062CFE">
        <w:t>n all instances the following definitions apply:</w:t>
      </w:r>
    </w:p>
    <w:tbl>
      <w:tblPr>
        <w:tblStyle w:val="TableGrid"/>
        <w:tblW w:w="0" w:type="auto"/>
        <w:tblLook w:val="04A0" w:firstRow="1" w:lastRow="0" w:firstColumn="1" w:lastColumn="0" w:noHBand="0" w:noVBand="1"/>
      </w:tblPr>
      <w:tblGrid>
        <w:gridCol w:w="1783"/>
        <w:gridCol w:w="7540"/>
      </w:tblGrid>
      <w:tr w:rsidR="00062CFE" w14:paraId="570CD281" w14:textId="77777777" w:rsidTr="005008F2">
        <w:tc>
          <w:tcPr>
            <w:tcW w:w="1809" w:type="dxa"/>
          </w:tcPr>
          <w:p w14:paraId="0195715F" w14:textId="77777777" w:rsidR="00062CFE" w:rsidRPr="00FE2D73" w:rsidRDefault="00062CFE" w:rsidP="005008F2">
            <w:r w:rsidRPr="00FE2D73">
              <w:t>Total Pass</w:t>
            </w:r>
          </w:p>
        </w:tc>
        <w:tc>
          <w:tcPr>
            <w:tcW w:w="12191" w:type="dxa"/>
          </w:tcPr>
          <w:p w14:paraId="5D2B0933" w14:textId="77777777" w:rsidR="00062CFE" w:rsidRPr="00FE2D73" w:rsidRDefault="00062CFE" w:rsidP="005008F2">
            <w:r w:rsidRPr="00FE2D73">
              <w:t>Number of students with a module result of P (pass)</w:t>
            </w:r>
          </w:p>
        </w:tc>
      </w:tr>
      <w:tr w:rsidR="00062CFE" w14:paraId="72D50EAA" w14:textId="77777777" w:rsidTr="005008F2">
        <w:tc>
          <w:tcPr>
            <w:tcW w:w="1809" w:type="dxa"/>
          </w:tcPr>
          <w:p w14:paraId="21F4702A" w14:textId="77777777" w:rsidR="00062CFE" w:rsidRPr="00FE2D73" w:rsidRDefault="00062CFE" w:rsidP="005008F2">
            <w:r w:rsidRPr="00FE2D73">
              <w:t>Total Mitigating circumstances</w:t>
            </w:r>
          </w:p>
        </w:tc>
        <w:tc>
          <w:tcPr>
            <w:tcW w:w="12191" w:type="dxa"/>
          </w:tcPr>
          <w:p w14:paraId="397FB1CE" w14:textId="77777777" w:rsidR="00062CFE" w:rsidRPr="00FE2D73" w:rsidRDefault="00062CFE" w:rsidP="005008F2">
            <w:r w:rsidRPr="00FE2D73">
              <w:t>Number of students with an actual module grade of S (mitigating circumstances)</w:t>
            </w:r>
          </w:p>
        </w:tc>
      </w:tr>
      <w:tr w:rsidR="00062CFE" w14:paraId="5627D820" w14:textId="77777777" w:rsidTr="005008F2">
        <w:tc>
          <w:tcPr>
            <w:tcW w:w="1809" w:type="dxa"/>
          </w:tcPr>
          <w:p w14:paraId="72A07FFF" w14:textId="77777777" w:rsidR="00062CFE" w:rsidRPr="00FE2D73" w:rsidRDefault="00062CFE" w:rsidP="005008F2">
            <w:r w:rsidRPr="00FE2D73">
              <w:t xml:space="preserve">Total fail </w:t>
            </w:r>
            <w:r w:rsidRPr="00FE2D73">
              <w:rPr>
                <w:sz w:val="18"/>
                <w:szCs w:val="18"/>
              </w:rPr>
              <w:t>(excluding F0 (0))</w:t>
            </w:r>
          </w:p>
        </w:tc>
        <w:tc>
          <w:tcPr>
            <w:tcW w:w="12191" w:type="dxa"/>
          </w:tcPr>
          <w:p w14:paraId="125B5DBD" w14:textId="77777777" w:rsidR="00062CFE" w:rsidRPr="00FE2D73" w:rsidRDefault="00062CFE" w:rsidP="005008F2">
            <w:r w:rsidRPr="00FE2D73">
              <w:t>Number of students with an actual module grade of F0, F1, F2, F3, F4, F5, QF, FF, MF, FS, FZ, LF, Q0, QM, X0, XM, X1, X2, X3, X4, X5, XF, XL, ZQ, Z).  Actual number of students with an actual module grade of F0 and actual module mark of &gt;1.</w:t>
            </w:r>
          </w:p>
        </w:tc>
      </w:tr>
      <w:tr w:rsidR="00062CFE" w14:paraId="0866379F" w14:textId="77777777" w:rsidTr="005008F2">
        <w:tc>
          <w:tcPr>
            <w:tcW w:w="1809" w:type="dxa"/>
          </w:tcPr>
          <w:p w14:paraId="519B33DE" w14:textId="77777777" w:rsidR="00062CFE" w:rsidRPr="00FE2D73" w:rsidRDefault="00062CFE" w:rsidP="005008F2">
            <w:r w:rsidRPr="00FE2D73">
              <w:t>Total F0</w:t>
            </w:r>
          </w:p>
        </w:tc>
        <w:tc>
          <w:tcPr>
            <w:tcW w:w="12191" w:type="dxa"/>
          </w:tcPr>
          <w:p w14:paraId="4A21A93C" w14:textId="77777777" w:rsidR="00062CFE" w:rsidRPr="00FE2D73" w:rsidRDefault="00062CFE" w:rsidP="005008F2">
            <w:r w:rsidRPr="00FE2D73">
              <w:t>Number of students with an actual module grade of F0</w:t>
            </w:r>
          </w:p>
        </w:tc>
      </w:tr>
      <w:tr w:rsidR="00062CFE" w14:paraId="20EBC533" w14:textId="77777777" w:rsidTr="005008F2">
        <w:tc>
          <w:tcPr>
            <w:tcW w:w="1809" w:type="dxa"/>
          </w:tcPr>
          <w:p w14:paraId="5470738D" w14:textId="77777777" w:rsidR="00062CFE" w:rsidRPr="00FE2D73" w:rsidRDefault="00062CFE" w:rsidP="005008F2">
            <w:r w:rsidRPr="00FE2D73">
              <w:t>Total W</w:t>
            </w:r>
          </w:p>
        </w:tc>
        <w:tc>
          <w:tcPr>
            <w:tcW w:w="12191" w:type="dxa"/>
          </w:tcPr>
          <w:p w14:paraId="790DC92D" w14:textId="77777777" w:rsidR="00062CFE" w:rsidRPr="00FE2D73" w:rsidRDefault="00062CFE" w:rsidP="005008F2">
            <w:r w:rsidRPr="00FE2D73">
              <w:t>Number of students with an actual module grade of W</w:t>
            </w:r>
          </w:p>
        </w:tc>
      </w:tr>
    </w:tbl>
    <w:p w14:paraId="2B9A83B5" w14:textId="5B48EFE9" w:rsidR="002F6DE3" w:rsidRPr="00270BD5" w:rsidRDefault="2E6FE6F3" w:rsidP="005008F2">
      <w:pPr>
        <w:pStyle w:val="Heading2"/>
        <w:rPr>
          <w:sz w:val="24"/>
          <w:szCs w:val="24"/>
        </w:rPr>
      </w:pPr>
      <w:r w:rsidRPr="00270BD5">
        <w:rPr>
          <w:sz w:val="24"/>
          <w:szCs w:val="24"/>
        </w:rPr>
        <w:t>C</w:t>
      </w:r>
      <w:r w:rsidR="4DE89396" w:rsidRPr="00270BD5">
        <w:rPr>
          <w:sz w:val="24"/>
          <w:szCs w:val="24"/>
        </w:rPr>
        <w:t>ours</w:t>
      </w:r>
      <w:r w:rsidRPr="00270BD5">
        <w:rPr>
          <w:sz w:val="24"/>
          <w:szCs w:val="24"/>
        </w:rPr>
        <w:t>e-</w:t>
      </w:r>
      <w:r w:rsidR="4DE89396" w:rsidRPr="00270BD5">
        <w:rPr>
          <w:sz w:val="24"/>
          <w:szCs w:val="24"/>
        </w:rPr>
        <w:t xml:space="preserve">level </w:t>
      </w:r>
      <w:r w:rsidR="6C87E452" w:rsidRPr="00270BD5">
        <w:rPr>
          <w:sz w:val="24"/>
          <w:szCs w:val="24"/>
        </w:rPr>
        <w:t>Key Performance I</w:t>
      </w:r>
      <w:r w:rsidR="11E2139D" w:rsidRPr="00270BD5">
        <w:rPr>
          <w:sz w:val="24"/>
          <w:szCs w:val="24"/>
        </w:rPr>
        <w:t>ndicators</w:t>
      </w:r>
      <w:r w:rsidR="4DE89396" w:rsidRPr="00270BD5">
        <w:rPr>
          <w:sz w:val="24"/>
          <w:szCs w:val="24"/>
        </w:rPr>
        <w:t xml:space="preserve"> </w:t>
      </w:r>
      <w:r w:rsidR="6C87E452" w:rsidRPr="00270BD5">
        <w:rPr>
          <w:sz w:val="24"/>
          <w:szCs w:val="24"/>
        </w:rPr>
        <w:t>(KPIs)</w:t>
      </w:r>
    </w:p>
    <w:p w14:paraId="7D6E1FA2" w14:textId="62E0353B" w:rsidR="4DE89396" w:rsidRDefault="4DE89396">
      <w:r>
        <w:t>The KPI has not been met if the answer is “yes” to any of the statements in the first row of the table below:</w:t>
      </w:r>
    </w:p>
    <w:p w14:paraId="57B6294B" w14:textId="77777777" w:rsidR="00E326CE" w:rsidRDefault="00E326CE"/>
    <w:tbl>
      <w:tblPr>
        <w:tblStyle w:val="TableGrid"/>
        <w:tblW w:w="0" w:type="auto"/>
        <w:tblLook w:val="04A0" w:firstRow="1" w:lastRow="0" w:firstColumn="1" w:lastColumn="0" w:noHBand="0" w:noVBand="1"/>
      </w:tblPr>
      <w:tblGrid>
        <w:gridCol w:w="2285"/>
        <w:gridCol w:w="2346"/>
        <w:gridCol w:w="2051"/>
        <w:gridCol w:w="2641"/>
      </w:tblGrid>
      <w:tr w:rsidR="002F6DE3" w14:paraId="606800C7" w14:textId="77777777" w:rsidTr="69299F46">
        <w:tc>
          <w:tcPr>
            <w:tcW w:w="3356" w:type="dxa"/>
          </w:tcPr>
          <w:p w14:paraId="61BB8221" w14:textId="77777777" w:rsidR="002F6DE3" w:rsidRPr="005008F2" w:rsidRDefault="002F6DE3" w:rsidP="005008F2">
            <w:pPr>
              <w:rPr>
                <w:b/>
                <w:bCs/>
              </w:rPr>
            </w:pPr>
            <w:r w:rsidRPr="005008F2">
              <w:rPr>
                <w:b/>
                <w:bCs/>
              </w:rPr>
              <w:t>Level 3</w:t>
            </w:r>
          </w:p>
        </w:tc>
        <w:tc>
          <w:tcPr>
            <w:tcW w:w="3530" w:type="dxa"/>
          </w:tcPr>
          <w:p w14:paraId="717C21D9" w14:textId="77777777" w:rsidR="002F6DE3" w:rsidRPr="005008F2" w:rsidRDefault="002F6DE3" w:rsidP="005008F2">
            <w:pPr>
              <w:rPr>
                <w:b/>
                <w:bCs/>
              </w:rPr>
            </w:pPr>
            <w:r w:rsidRPr="005008F2">
              <w:rPr>
                <w:b/>
                <w:bCs/>
              </w:rPr>
              <w:t>Level 4</w:t>
            </w:r>
          </w:p>
        </w:tc>
        <w:tc>
          <w:tcPr>
            <w:tcW w:w="2687" w:type="dxa"/>
          </w:tcPr>
          <w:p w14:paraId="422B7752" w14:textId="77777777" w:rsidR="002F6DE3" w:rsidRPr="005008F2" w:rsidRDefault="002F6DE3" w:rsidP="005008F2">
            <w:pPr>
              <w:rPr>
                <w:b/>
                <w:bCs/>
              </w:rPr>
            </w:pPr>
            <w:r w:rsidRPr="005008F2">
              <w:rPr>
                <w:b/>
                <w:bCs/>
              </w:rPr>
              <w:t>Level 5</w:t>
            </w:r>
          </w:p>
        </w:tc>
        <w:tc>
          <w:tcPr>
            <w:tcW w:w="4375" w:type="dxa"/>
          </w:tcPr>
          <w:p w14:paraId="188D5770" w14:textId="77777777" w:rsidR="002F6DE3" w:rsidRPr="005008F2" w:rsidRDefault="002F6DE3" w:rsidP="005008F2">
            <w:pPr>
              <w:rPr>
                <w:b/>
                <w:bCs/>
              </w:rPr>
            </w:pPr>
            <w:r w:rsidRPr="005008F2">
              <w:rPr>
                <w:b/>
                <w:bCs/>
              </w:rPr>
              <w:t xml:space="preserve">Level 6 </w:t>
            </w:r>
          </w:p>
          <w:p w14:paraId="01602494" w14:textId="65E26D1C" w:rsidR="002F6DE3" w:rsidRPr="005008F2" w:rsidRDefault="002F6DE3" w:rsidP="005008F2">
            <w:pPr>
              <w:rPr>
                <w:b/>
                <w:bCs/>
              </w:rPr>
            </w:pPr>
            <w:r w:rsidRPr="005008F2">
              <w:rPr>
                <w:b/>
                <w:bCs/>
              </w:rPr>
              <w:t>(</w:t>
            </w:r>
            <w:r w:rsidR="007A3449" w:rsidRPr="005008F2">
              <w:rPr>
                <w:b/>
                <w:bCs/>
              </w:rPr>
              <w:t>Integrated</w:t>
            </w:r>
            <w:r w:rsidRPr="005008F2">
              <w:rPr>
                <w:b/>
                <w:bCs/>
              </w:rPr>
              <w:t xml:space="preserve"> masters only)</w:t>
            </w:r>
          </w:p>
        </w:tc>
      </w:tr>
      <w:tr w:rsidR="002F6DE3" w:rsidRPr="005A3D2A" w14:paraId="69F7B62A" w14:textId="77777777" w:rsidTr="69299F46">
        <w:tc>
          <w:tcPr>
            <w:tcW w:w="3356" w:type="dxa"/>
          </w:tcPr>
          <w:p w14:paraId="10F2C949" w14:textId="77777777" w:rsidR="002F6DE3" w:rsidRPr="00FE2D73" w:rsidRDefault="002F6DE3" w:rsidP="005008F2">
            <w:r w:rsidRPr="00FE2D73">
              <w:t>More than 20% of students at level 3 are ineligible to progress after the 1</w:t>
            </w:r>
            <w:r w:rsidRPr="00FE2D73">
              <w:rPr>
                <w:vertAlign w:val="superscript"/>
              </w:rPr>
              <w:t>st</w:t>
            </w:r>
            <w:r w:rsidRPr="00FE2D73">
              <w:t xml:space="preserve"> attempt</w:t>
            </w:r>
          </w:p>
        </w:tc>
        <w:tc>
          <w:tcPr>
            <w:tcW w:w="3530" w:type="dxa"/>
          </w:tcPr>
          <w:p w14:paraId="4D209F2E" w14:textId="77777777" w:rsidR="002F6DE3" w:rsidRPr="00FE2D73" w:rsidRDefault="002F6DE3" w:rsidP="005008F2">
            <w:r w:rsidRPr="00FE2D73">
              <w:t>More than 15% of students at level 4 are ineligible to progress after the 1</w:t>
            </w:r>
            <w:r w:rsidRPr="00FE2D73">
              <w:rPr>
                <w:vertAlign w:val="superscript"/>
              </w:rPr>
              <w:t>st</w:t>
            </w:r>
            <w:r w:rsidRPr="00FE2D73">
              <w:t xml:space="preserve"> attempt</w:t>
            </w:r>
          </w:p>
        </w:tc>
        <w:tc>
          <w:tcPr>
            <w:tcW w:w="2687" w:type="dxa"/>
          </w:tcPr>
          <w:p w14:paraId="7787813F" w14:textId="77777777" w:rsidR="002F6DE3" w:rsidRPr="00FE2D73" w:rsidRDefault="002F6DE3" w:rsidP="005008F2">
            <w:r w:rsidRPr="00FE2D73">
              <w:t>More than 10% of students at level 5 are ineligible to progress after the 1</w:t>
            </w:r>
            <w:r w:rsidRPr="00FE2D73">
              <w:rPr>
                <w:vertAlign w:val="superscript"/>
              </w:rPr>
              <w:t>st</w:t>
            </w:r>
            <w:r w:rsidRPr="00FE2D73">
              <w:t xml:space="preserve"> attempt</w:t>
            </w:r>
          </w:p>
        </w:tc>
        <w:tc>
          <w:tcPr>
            <w:tcW w:w="4375" w:type="dxa"/>
          </w:tcPr>
          <w:p w14:paraId="2476506A" w14:textId="77777777" w:rsidR="002F6DE3" w:rsidRPr="00FE2D73" w:rsidRDefault="002F6DE3" w:rsidP="005008F2">
            <w:r w:rsidRPr="00FE2D73">
              <w:t>More than 5% of students at level 6 are ineligible to progress after the 1</w:t>
            </w:r>
            <w:r w:rsidRPr="00FE2D73">
              <w:rPr>
                <w:vertAlign w:val="superscript"/>
              </w:rPr>
              <w:t>st</w:t>
            </w:r>
            <w:r w:rsidRPr="00FE2D73">
              <w:t xml:space="preserve"> attempt</w:t>
            </w:r>
          </w:p>
        </w:tc>
      </w:tr>
      <w:tr w:rsidR="002F6DE3" w:rsidRPr="005A3D2A" w14:paraId="39162318" w14:textId="77777777" w:rsidTr="69299F46">
        <w:tc>
          <w:tcPr>
            <w:tcW w:w="3356" w:type="dxa"/>
          </w:tcPr>
          <w:p w14:paraId="5F146A48" w14:textId="77777777" w:rsidR="002F6DE3" w:rsidRPr="00FE2D73" w:rsidRDefault="002F6DE3" w:rsidP="005008F2">
            <w:r w:rsidRPr="00FE2D73">
              <w:t>Total % of students at level 3 who progress following reassessment</w:t>
            </w:r>
          </w:p>
        </w:tc>
        <w:tc>
          <w:tcPr>
            <w:tcW w:w="3530" w:type="dxa"/>
          </w:tcPr>
          <w:p w14:paraId="2D3E441E" w14:textId="77777777" w:rsidR="002F6DE3" w:rsidRPr="00FE2D73" w:rsidRDefault="002F6DE3" w:rsidP="005008F2">
            <w:r w:rsidRPr="00FE2D73">
              <w:t>Total % of students at level 4 who progress following reassessment</w:t>
            </w:r>
          </w:p>
        </w:tc>
        <w:tc>
          <w:tcPr>
            <w:tcW w:w="2687" w:type="dxa"/>
          </w:tcPr>
          <w:p w14:paraId="48C80552" w14:textId="77777777" w:rsidR="002F6DE3" w:rsidRPr="00FE2D73" w:rsidRDefault="002F6DE3" w:rsidP="005008F2">
            <w:r w:rsidRPr="00FE2D73">
              <w:t>Total % of students at level 5 who progress following reassessment</w:t>
            </w:r>
          </w:p>
        </w:tc>
        <w:tc>
          <w:tcPr>
            <w:tcW w:w="4375" w:type="dxa"/>
          </w:tcPr>
          <w:p w14:paraId="3C80ED23" w14:textId="22407C49" w:rsidR="002F6DE3" w:rsidRPr="00FE2D73" w:rsidRDefault="002F6DE3" w:rsidP="005008F2">
            <w:r>
              <w:t>Total % of students at level 6 who progress following reassessment</w:t>
            </w:r>
          </w:p>
        </w:tc>
      </w:tr>
      <w:tr w:rsidR="002F6DE3" w:rsidRPr="005A3D2A" w14:paraId="2AB7AC86" w14:textId="77777777" w:rsidTr="69299F46">
        <w:tc>
          <w:tcPr>
            <w:tcW w:w="3356" w:type="dxa"/>
          </w:tcPr>
          <w:p w14:paraId="214D1F38" w14:textId="77777777" w:rsidR="002F6DE3" w:rsidRPr="00FE2D73" w:rsidRDefault="002F6DE3" w:rsidP="005008F2">
            <w:r w:rsidRPr="00FE2D73">
              <w:t>Total % of students at level 3 who withdraw or transfer out</w:t>
            </w:r>
          </w:p>
        </w:tc>
        <w:tc>
          <w:tcPr>
            <w:tcW w:w="3530" w:type="dxa"/>
          </w:tcPr>
          <w:p w14:paraId="26B37678" w14:textId="77777777" w:rsidR="002F6DE3" w:rsidRPr="00FE2D73" w:rsidRDefault="002F6DE3" w:rsidP="005008F2">
            <w:r w:rsidRPr="00FE2D73">
              <w:t>Total % of students at level 4 who withdraw or transfer out</w:t>
            </w:r>
          </w:p>
        </w:tc>
        <w:tc>
          <w:tcPr>
            <w:tcW w:w="2687" w:type="dxa"/>
          </w:tcPr>
          <w:p w14:paraId="4DD4AC3D" w14:textId="77777777" w:rsidR="002F6DE3" w:rsidRPr="00FE2D73" w:rsidRDefault="002F6DE3" w:rsidP="005008F2">
            <w:r w:rsidRPr="00FE2D73">
              <w:t>Total % of students at level 5 who withdraw or transfer out</w:t>
            </w:r>
          </w:p>
        </w:tc>
        <w:tc>
          <w:tcPr>
            <w:tcW w:w="4375" w:type="dxa"/>
          </w:tcPr>
          <w:p w14:paraId="72E08769" w14:textId="77777777" w:rsidR="002F6DE3" w:rsidRPr="00FE2D73" w:rsidRDefault="002F6DE3" w:rsidP="005008F2">
            <w:r w:rsidRPr="00FE2D73">
              <w:t>Total % of students at level 6 who withdraw or transfer out</w:t>
            </w:r>
          </w:p>
        </w:tc>
      </w:tr>
    </w:tbl>
    <w:p w14:paraId="48165E5B" w14:textId="1E49BDBF" w:rsidR="004D58B8" w:rsidRDefault="004D58B8">
      <w:pPr>
        <w:widowControl/>
        <w:spacing w:before="0" w:after="0"/>
      </w:pPr>
    </w:p>
    <w:p w14:paraId="56B41FFE" w14:textId="393903D1" w:rsidR="004D58B8" w:rsidRPr="003678F0" w:rsidRDefault="007B7F93" w:rsidP="003678F0">
      <w:r>
        <w:t xml:space="preserve">Value added against a target of </w:t>
      </w:r>
      <w:proofErr w:type="gramStart"/>
      <w:r>
        <w:t>1</w:t>
      </w:r>
      <w:proofErr w:type="gramEnd"/>
    </w:p>
    <w:p w14:paraId="1F91FF76" w14:textId="0E00FB44" w:rsidR="00A1613F" w:rsidRDefault="00DE5AB1" w:rsidP="005008F2">
      <w:pPr>
        <w:pStyle w:val="Heading2"/>
      </w:pPr>
      <w:r>
        <w:lastRenderedPageBreak/>
        <w:t>Course information</w:t>
      </w:r>
    </w:p>
    <w:p w14:paraId="2B6B5C95" w14:textId="7925F038" w:rsidR="00255824" w:rsidRPr="00255824" w:rsidRDefault="00236731" w:rsidP="00255824">
      <w:pPr>
        <w:rPr>
          <w:lang w:eastAsia="en-GB"/>
        </w:rPr>
      </w:pPr>
      <w:r>
        <w:rPr>
          <w:lang w:eastAsia="en-GB"/>
        </w:rPr>
        <w:t xml:space="preserve">The following table indicates the </w:t>
      </w:r>
      <w:r w:rsidR="00173266">
        <w:rPr>
          <w:lang w:eastAsia="en-GB"/>
        </w:rPr>
        <w:t>level at which course related information applies</w:t>
      </w:r>
    </w:p>
    <w:tbl>
      <w:tblPr>
        <w:tblStyle w:val="TableGrid"/>
        <w:tblW w:w="8500" w:type="dxa"/>
        <w:tblLayout w:type="fixed"/>
        <w:tblLook w:val="04A0" w:firstRow="1" w:lastRow="0" w:firstColumn="1" w:lastColumn="0" w:noHBand="0" w:noVBand="1"/>
      </w:tblPr>
      <w:tblGrid>
        <w:gridCol w:w="5098"/>
        <w:gridCol w:w="3402"/>
      </w:tblGrid>
      <w:tr w:rsidR="002F6DE3" w:rsidRPr="00062CFE" w14:paraId="0230EC65" w14:textId="77777777" w:rsidTr="004D58B8">
        <w:tc>
          <w:tcPr>
            <w:tcW w:w="5098" w:type="dxa"/>
          </w:tcPr>
          <w:p w14:paraId="3F022543" w14:textId="77777777" w:rsidR="002F6DE3" w:rsidRPr="00FE2D73" w:rsidRDefault="002F6DE3" w:rsidP="005008F2">
            <w:r>
              <w:t>Qualification of entry</w:t>
            </w:r>
          </w:p>
        </w:tc>
        <w:tc>
          <w:tcPr>
            <w:tcW w:w="3402" w:type="dxa"/>
          </w:tcPr>
          <w:p w14:paraId="505C5B8C" w14:textId="77777777" w:rsidR="002F6DE3" w:rsidRPr="00FE2D73" w:rsidRDefault="00DE5AB1" w:rsidP="005008F2">
            <w:r>
              <w:t>UG</w:t>
            </w:r>
          </w:p>
        </w:tc>
      </w:tr>
      <w:tr w:rsidR="002F6DE3" w:rsidRPr="00062CFE" w14:paraId="2222F49F" w14:textId="77777777" w:rsidTr="004D58B8">
        <w:tc>
          <w:tcPr>
            <w:tcW w:w="5098" w:type="dxa"/>
          </w:tcPr>
          <w:p w14:paraId="29E98CB3" w14:textId="77777777" w:rsidR="002F6DE3" w:rsidRPr="00FE2D73" w:rsidRDefault="002F6DE3" w:rsidP="005008F2">
            <w:r w:rsidRPr="00FE2D73">
              <w:t>Retention of entrants</w:t>
            </w:r>
          </w:p>
        </w:tc>
        <w:tc>
          <w:tcPr>
            <w:tcW w:w="3402" w:type="dxa"/>
          </w:tcPr>
          <w:p w14:paraId="7FC776BC" w14:textId="77777777" w:rsidR="002F6DE3" w:rsidRPr="00FE2D73" w:rsidRDefault="002F6DE3" w:rsidP="005008F2">
            <w:r w:rsidRPr="00FE2D73">
              <w:t>UG</w:t>
            </w:r>
          </w:p>
        </w:tc>
      </w:tr>
      <w:tr w:rsidR="002F6DE3" w:rsidRPr="002F6DE3" w14:paraId="33CB5EC9" w14:textId="77777777" w:rsidTr="004D58B8">
        <w:tc>
          <w:tcPr>
            <w:tcW w:w="5098" w:type="dxa"/>
          </w:tcPr>
          <w:p w14:paraId="320F4803" w14:textId="77777777" w:rsidR="002F6DE3" w:rsidRPr="002F6DE3" w:rsidRDefault="002F6DE3" w:rsidP="005008F2">
            <w:r>
              <w:t>Awards</w:t>
            </w:r>
          </w:p>
        </w:tc>
        <w:tc>
          <w:tcPr>
            <w:tcW w:w="3402" w:type="dxa"/>
          </w:tcPr>
          <w:p w14:paraId="0F4A632D" w14:textId="77777777" w:rsidR="002F6DE3" w:rsidRPr="002F6DE3" w:rsidRDefault="00DE5AB1" w:rsidP="005008F2">
            <w:r>
              <w:t>UG/PG</w:t>
            </w:r>
          </w:p>
        </w:tc>
      </w:tr>
      <w:tr w:rsidR="002F6DE3" w:rsidRPr="002F6DE3" w14:paraId="5302248D" w14:textId="77777777" w:rsidTr="004D58B8">
        <w:tc>
          <w:tcPr>
            <w:tcW w:w="5098" w:type="dxa"/>
          </w:tcPr>
          <w:p w14:paraId="1C0009A8" w14:textId="77777777" w:rsidR="002F6DE3" w:rsidRPr="002F6DE3" w:rsidRDefault="002F6DE3" w:rsidP="005008F2">
            <w:r>
              <w:t>Graduate outcomes</w:t>
            </w:r>
          </w:p>
        </w:tc>
        <w:tc>
          <w:tcPr>
            <w:tcW w:w="3402" w:type="dxa"/>
          </w:tcPr>
          <w:p w14:paraId="487F3431" w14:textId="77777777" w:rsidR="002F6DE3" w:rsidRPr="002F6DE3" w:rsidRDefault="00DE5AB1" w:rsidP="005008F2">
            <w:r>
              <w:t>UG/PG</w:t>
            </w:r>
          </w:p>
        </w:tc>
      </w:tr>
      <w:tr w:rsidR="002F6DE3" w:rsidRPr="002F6DE3" w14:paraId="2C9E2028" w14:textId="77777777" w:rsidTr="004D58B8">
        <w:tc>
          <w:tcPr>
            <w:tcW w:w="5098" w:type="dxa"/>
          </w:tcPr>
          <w:p w14:paraId="14410C84" w14:textId="77777777" w:rsidR="002F6DE3" w:rsidRPr="002F6DE3" w:rsidRDefault="00DE5AB1" w:rsidP="005008F2">
            <w:pPr>
              <w:numPr>
                <w:ilvl w:val="0"/>
                <w:numId w:val="15"/>
              </w:numPr>
            </w:pPr>
            <w:r>
              <w:t>Employed or further study</w:t>
            </w:r>
          </w:p>
        </w:tc>
        <w:tc>
          <w:tcPr>
            <w:tcW w:w="3402" w:type="dxa"/>
          </w:tcPr>
          <w:p w14:paraId="1E89EEE2" w14:textId="77777777" w:rsidR="002F6DE3" w:rsidRPr="002F6DE3" w:rsidRDefault="002F6DE3" w:rsidP="005008F2"/>
        </w:tc>
      </w:tr>
      <w:tr w:rsidR="002F6DE3" w:rsidRPr="002F6DE3" w14:paraId="13F1C400" w14:textId="77777777" w:rsidTr="004D58B8">
        <w:tc>
          <w:tcPr>
            <w:tcW w:w="5098" w:type="dxa"/>
          </w:tcPr>
          <w:p w14:paraId="49446005" w14:textId="77777777" w:rsidR="002F6DE3" w:rsidRPr="002F6DE3" w:rsidRDefault="00DE5AB1" w:rsidP="005008F2">
            <w:pPr>
              <w:numPr>
                <w:ilvl w:val="0"/>
                <w:numId w:val="15"/>
              </w:numPr>
            </w:pPr>
            <w:r>
              <w:t>Highly skilled employment</w:t>
            </w:r>
          </w:p>
        </w:tc>
        <w:tc>
          <w:tcPr>
            <w:tcW w:w="3402" w:type="dxa"/>
          </w:tcPr>
          <w:p w14:paraId="5F247036" w14:textId="77777777" w:rsidR="002F6DE3" w:rsidRPr="002F6DE3" w:rsidRDefault="002F6DE3" w:rsidP="005008F2"/>
        </w:tc>
      </w:tr>
      <w:tr w:rsidR="002F6DE3" w:rsidRPr="002F6DE3" w14:paraId="7FE4385B" w14:textId="77777777" w:rsidTr="004D58B8">
        <w:tc>
          <w:tcPr>
            <w:tcW w:w="5098" w:type="dxa"/>
          </w:tcPr>
          <w:p w14:paraId="3CF8FB8F" w14:textId="77777777" w:rsidR="002F6DE3" w:rsidRPr="002F6DE3" w:rsidRDefault="002F6DE3" w:rsidP="005008F2">
            <w:r w:rsidRPr="002F6DE3">
              <w:t>National Student Survey</w:t>
            </w:r>
          </w:p>
        </w:tc>
        <w:tc>
          <w:tcPr>
            <w:tcW w:w="3402" w:type="dxa"/>
          </w:tcPr>
          <w:p w14:paraId="36D76255" w14:textId="77777777" w:rsidR="002F6DE3" w:rsidRPr="002F6DE3" w:rsidRDefault="002F6DE3" w:rsidP="005008F2">
            <w:r w:rsidRPr="002F6DE3">
              <w:t>UG</w:t>
            </w:r>
          </w:p>
        </w:tc>
      </w:tr>
      <w:tr w:rsidR="002F6DE3" w:rsidRPr="00062CFE" w14:paraId="33C1E3F4" w14:textId="77777777" w:rsidTr="004D58B8">
        <w:tc>
          <w:tcPr>
            <w:tcW w:w="5098" w:type="dxa"/>
          </w:tcPr>
          <w:p w14:paraId="71530752" w14:textId="519F6B0F" w:rsidR="002F6DE3" w:rsidRPr="00FE2D73" w:rsidRDefault="002F6DE3" w:rsidP="005008F2">
            <w:pPr>
              <w:numPr>
                <w:ilvl w:val="0"/>
                <w:numId w:val="14"/>
              </w:numPr>
            </w:pPr>
            <w:r w:rsidRPr="00FE2D73">
              <w:t xml:space="preserve">Teaching </w:t>
            </w:r>
            <w:r w:rsidR="005774E2">
              <w:t>on my course</w:t>
            </w:r>
          </w:p>
        </w:tc>
        <w:tc>
          <w:tcPr>
            <w:tcW w:w="3402" w:type="dxa"/>
          </w:tcPr>
          <w:p w14:paraId="194CD631" w14:textId="77777777" w:rsidR="002F6DE3" w:rsidRPr="00FE2D73" w:rsidRDefault="002F6DE3" w:rsidP="005008F2">
            <w:pPr>
              <w:ind w:left="720"/>
            </w:pPr>
          </w:p>
        </w:tc>
      </w:tr>
      <w:tr w:rsidR="005774E2" w:rsidRPr="00062CFE" w14:paraId="5B390C08" w14:textId="77777777" w:rsidTr="004D58B8">
        <w:tc>
          <w:tcPr>
            <w:tcW w:w="5098" w:type="dxa"/>
          </w:tcPr>
          <w:p w14:paraId="77E505CB" w14:textId="4E02FABB" w:rsidR="005774E2" w:rsidRPr="00FE2D73" w:rsidRDefault="005774E2" w:rsidP="005008F2">
            <w:pPr>
              <w:numPr>
                <w:ilvl w:val="0"/>
                <w:numId w:val="14"/>
              </w:numPr>
            </w:pPr>
            <w:r>
              <w:t xml:space="preserve">Learning </w:t>
            </w:r>
            <w:r w:rsidR="009769B4">
              <w:t>O</w:t>
            </w:r>
            <w:r>
              <w:t>pportunities</w:t>
            </w:r>
          </w:p>
        </w:tc>
        <w:tc>
          <w:tcPr>
            <w:tcW w:w="3402" w:type="dxa"/>
          </w:tcPr>
          <w:p w14:paraId="281C280C" w14:textId="77777777" w:rsidR="005774E2" w:rsidRPr="00FE2D73" w:rsidRDefault="005774E2" w:rsidP="005008F2">
            <w:pPr>
              <w:ind w:left="720"/>
            </w:pPr>
          </w:p>
        </w:tc>
      </w:tr>
      <w:tr w:rsidR="002F6DE3" w:rsidRPr="00062CFE" w14:paraId="0DDA2A2D" w14:textId="77777777" w:rsidTr="004D58B8">
        <w:tc>
          <w:tcPr>
            <w:tcW w:w="5098" w:type="dxa"/>
          </w:tcPr>
          <w:p w14:paraId="3052CC6D" w14:textId="77777777" w:rsidR="002F6DE3" w:rsidRPr="00FE2D73" w:rsidRDefault="002F6DE3" w:rsidP="005008F2">
            <w:pPr>
              <w:numPr>
                <w:ilvl w:val="0"/>
                <w:numId w:val="14"/>
              </w:numPr>
            </w:pPr>
            <w:r w:rsidRPr="00FE2D73">
              <w:t>Assessment and Feedback</w:t>
            </w:r>
          </w:p>
        </w:tc>
        <w:tc>
          <w:tcPr>
            <w:tcW w:w="3402" w:type="dxa"/>
          </w:tcPr>
          <w:p w14:paraId="737941B1" w14:textId="77777777" w:rsidR="002F6DE3" w:rsidRPr="00FE2D73" w:rsidRDefault="002F6DE3" w:rsidP="005008F2">
            <w:pPr>
              <w:ind w:left="720"/>
            </w:pPr>
          </w:p>
        </w:tc>
      </w:tr>
      <w:tr w:rsidR="007E2A3A" w:rsidRPr="00062CFE" w14:paraId="2A3DC037" w14:textId="77777777" w:rsidTr="004D58B8">
        <w:tc>
          <w:tcPr>
            <w:tcW w:w="5098" w:type="dxa"/>
          </w:tcPr>
          <w:p w14:paraId="6DE42A0B" w14:textId="6BECE3DB" w:rsidR="007E2A3A" w:rsidRPr="00FE2D73" w:rsidRDefault="007E2A3A" w:rsidP="005008F2">
            <w:pPr>
              <w:numPr>
                <w:ilvl w:val="0"/>
                <w:numId w:val="14"/>
              </w:numPr>
            </w:pPr>
            <w:r>
              <w:t>Academic Support</w:t>
            </w:r>
          </w:p>
        </w:tc>
        <w:tc>
          <w:tcPr>
            <w:tcW w:w="3402" w:type="dxa"/>
          </w:tcPr>
          <w:p w14:paraId="652DD47E" w14:textId="77777777" w:rsidR="007E2A3A" w:rsidRPr="00FE2D73" w:rsidRDefault="007E2A3A" w:rsidP="005008F2">
            <w:pPr>
              <w:ind w:left="720"/>
            </w:pPr>
          </w:p>
        </w:tc>
      </w:tr>
      <w:tr w:rsidR="002F6DE3" w:rsidRPr="00062CFE" w14:paraId="7C07972A" w14:textId="77777777" w:rsidTr="004D58B8">
        <w:tc>
          <w:tcPr>
            <w:tcW w:w="5098" w:type="dxa"/>
          </w:tcPr>
          <w:p w14:paraId="0590B207" w14:textId="77777777" w:rsidR="002F6DE3" w:rsidRPr="00FE2D73" w:rsidRDefault="00DE5AB1" w:rsidP="005008F2">
            <w:pPr>
              <w:numPr>
                <w:ilvl w:val="0"/>
                <w:numId w:val="14"/>
              </w:numPr>
            </w:pPr>
            <w:r>
              <w:t>Organisation and Management</w:t>
            </w:r>
          </w:p>
        </w:tc>
        <w:tc>
          <w:tcPr>
            <w:tcW w:w="3402" w:type="dxa"/>
          </w:tcPr>
          <w:p w14:paraId="1B0A7A6E" w14:textId="77777777" w:rsidR="002F6DE3" w:rsidRPr="00FE2D73" w:rsidRDefault="002F6DE3" w:rsidP="005008F2">
            <w:pPr>
              <w:ind w:left="720"/>
            </w:pPr>
          </w:p>
        </w:tc>
      </w:tr>
      <w:tr w:rsidR="00DE5AB1" w:rsidRPr="00062CFE" w14:paraId="4B351D97" w14:textId="77777777" w:rsidTr="004D58B8">
        <w:tc>
          <w:tcPr>
            <w:tcW w:w="5098" w:type="dxa"/>
          </w:tcPr>
          <w:p w14:paraId="4A3F11DB" w14:textId="77777777" w:rsidR="00DE5AB1" w:rsidRPr="00FE2D73" w:rsidRDefault="00DE5AB1" w:rsidP="005008F2">
            <w:pPr>
              <w:numPr>
                <w:ilvl w:val="0"/>
                <w:numId w:val="14"/>
              </w:numPr>
            </w:pPr>
            <w:r>
              <w:t>Learning Resources</w:t>
            </w:r>
          </w:p>
        </w:tc>
        <w:tc>
          <w:tcPr>
            <w:tcW w:w="3402" w:type="dxa"/>
          </w:tcPr>
          <w:p w14:paraId="709CD21A" w14:textId="192284F7" w:rsidR="00DE5AB1" w:rsidRPr="00FE2D73" w:rsidRDefault="00DE5AB1" w:rsidP="005008F2">
            <w:pPr>
              <w:ind w:left="720"/>
            </w:pPr>
          </w:p>
        </w:tc>
      </w:tr>
      <w:tr w:rsidR="007E2A3A" w:rsidRPr="00062CFE" w14:paraId="18F883B8" w14:textId="77777777" w:rsidTr="004D58B8">
        <w:tc>
          <w:tcPr>
            <w:tcW w:w="5098" w:type="dxa"/>
          </w:tcPr>
          <w:p w14:paraId="17B8B537" w14:textId="3FC3DEE7" w:rsidR="007E2A3A" w:rsidDel="007E2A3A" w:rsidRDefault="007E2A3A" w:rsidP="005008F2">
            <w:pPr>
              <w:numPr>
                <w:ilvl w:val="0"/>
                <w:numId w:val="14"/>
              </w:numPr>
            </w:pPr>
            <w:r>
              <w:t xml:space="preserve">Learning </w:t>
            </w:r>
            <w:r w:rsidR="009769B4">
              <w:t>C</w:t>
            </w:r>
            <w:r>
              <w:t>ommunity</w:t>
            </w:r>
          </w:p>
        </w:tc>
        <w:tc>
          <w:tcPr>
            <w:tcW w:w="3402" w:type="dxa"/>
          </w:tcPr>
          <w:p w14:paraId="240CC544" w14:textId="77777777" w:rsidR="007E2A3A" w:rsidRPr="00FE2D73" w:rsidRDefault="007E2A3A" w:rsidP="005008F2">
            <w:pPr>
              <w:ind w:left="720"/>
            </w:pPr>
          </w:p>
        </w:tc>
      </w:tr>
      <w:tr w:rsidR="007E2A3A" w:rsidRPr="00062CFE" w14:paraId="30858DC7" w14:textId="77777777" w:rsidTr="004D58B8">
        <w:tc>
          <w:tcPr>
            <w:tcW w:w="5098" w:type="dxa"/>
          </w:tcPr>
          <w:p w14:paraId="4B2D53F2" w14:textId="78ECA858" w:rsidR="007E2A3A" w:rsidRDefault="007E2A3A" w:rsidP="005008F2">
            <w:pPr>
              <w:numPr>
                <w:ilvl w:val="0"/>
                <w:numId w:val="14"/>
              </w:numPr>
            </w:pPr>
            <w:r>
              <w:t>Student Voice</w:t>
            </w:r>
          </w:p>
        </w:tc>
        <w:tc>
          <w:tcPr>
            <w:tcW w:w="3402" w:type="dxa"/>
          </w:tcPr>
          <w:p w14:paraId="24FA4714" w14:textId="77777777" w:rsidR="007E2A3A" w:rsidRPr="00FE2D73" w:rsidRDefault="007E2A3A" w:rsidP="005008F2">
            <w:pPr>
              <w:ind w:left="720"/>
            </w:pPr>
          </w:p>
        </w:tc>
      </w:tr>
      <w:tr w:rsidR="00DE5AB1" w:rsidRPr="00062CFE" w14:paraId="763D300B" w14:textId="77777777" w:rsidTr="004D58B8">
        <w:tc>
          <w:tcPr>
            <w:tcW w:w="5098" w:type="dxa"/>
          </w:tcPr>
          <w:p w14:paraId="0DD9DFB4" w14:textId="77777777" w:rsidR="00DE5AB1" w:rsidRPr="00FE2D73" w:rsidRDefault="00DE5AB1" w:rsidP="005008F2">
            <w:pPr>
              <w:numPr>
                <w:ilvl w:val="0"/>
                <w:numId w:val="14"/>
              </w:numPr>
            </w:pPr>
            <w:r w:rsidRPr="00FE2D73">
              <w:t>Overall satisfaction</w:t>
            </w:r>
          </w:p>
        </w:tc>
        <w:tc>
          <w:tcPr>
            <w:tcW w:w="3402" w:type="dxa"/>
          </w:tcPr>
          <w:p w14:paraId="7A67ABF8" w14:textId="77777777" w:rsidR="00DE5AB1" w:rsidRPr="00FE2D73" w:rsidRDefault="00DE5AB1" w:rsidP="005008F2">
            <w:pPr>
              <w:ind w:left="720"/>
            </w:pPr>
          </w:p>
        </w:tc>
      </w:tr>
    </w:tbl>
    <w:p w14:paraId="24690604" w14:textId="77777777" w:rsidR="00C60EB3" w:rsidRDefault="00C60EB3" w:rsidP="00976530">
      <w:pPr>
        <w:rPr>
          <w:rFonts w:cs="Arial"/>
          <w:sz w:val="22"/>
          <w:szCs w:val="22"/>
        </w:rPr>
      </w:pPr>
      <w:bookmarkStart w:id="0" w:name="Guidance_FGii"/>
      <w:bookmarkEnd w:id="0"/>
    </w:p>
    <w:p w14:paraId="0ED040A6" w14:textId="77777777" w:rsidR="00255824" w:rsidRPr="00F126D4" w:rsidRDefault="00255824" w:rsidP="00976530">
      <w:pPr>
        <w:rPr>
          <w:rFonts w:cs="Arial"/>
          <w:sz w:val="22"/>
          <w:szCs w:val="22"/>
        </w:rPr>
      </w:pPr>
    </w:p>
    <w:sectPr w:rsidR="00255824" w:rsidRPr="00F126D4" w:rsidSect="003678F0">
      <w:footerReference w:type="default" r:id="rId11"/>
      <w:pgSz w:w="11906" w:h="16838"/>
      <w:pgMar w:top="1440" w:right="1133" w:bottom="1440" w:left="1440" w:header="426" w:footer="3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2D65B" w14:textId="77777777" w:rsidR="00C9404B" w:rsidRDefault="00C9404B" w:rsidP="005F3B1E">
      <w:r>
        <w:separator/>
      </w:r>
    </w:p>
  </w:endnote>
  <w:endnote w:type="continuationSeparator" w:id="0">
    <w:p w14:paraId="180B6ACE" w14:textId="77777777" w:rsidR="00C9404B" w:rsidRDefault="00C9404B" w:rsidP="005F3B1E">
      <w:r>
        <w:continuationSeparator/>
      </w:r>
    </w:p>
  </w:endnote>
  <w:endnote w:type="continuationNotice" w:id="1">
    <w:p w14:paraId="57CDDBD8" w14:textId="77777777" w:rsidR="00C9404B" w:rsidRDefault="00C9404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636C" w14:textId="111BA685" w:rsidR="005F3B1E" w:rsidRPr="00F126D4" w:rsidRDefault="47004F65" w:rsidP="00704954">
    <w:pPr>
      <w:pStyle w:val="Footer"/>
      <w:pBdr>
        <w:top w:val="single" w:sz="4" w:space="1" w:color="auto"/>
      </w:pBdr>
      <w:tabs>
        <w:tab w:val="clear" w:pos="4513"/>
        <w:tab w:val="center" w:pos="4536"/>
        <w:tab w:val="right" w:pos="9072"/>
      </w:tabs>
      <w:rPr>
        <w:rFonts w:cs="Arial"/>
        <w:sz w:val="16"/>
        <w:szCs w:val="16"/>
      </w:rPr>
    </w:pPr>
    <w:proofErr w:type="spellStart"/>
    <w:r w:rsidRPr="47004F65">
      <w:rPr>
        <w:rFonts w:cs="Arial"/>
        <w:sz w:val="16"/>
        <w:szCs w:val="16"/>
      </w:rPr>
      <w:t>AQSH</w:t>
    </w:r>
    <w:proofErr w:type="spellEnd"/>
    <w:r w:rsidRPr="47004F65">
      <w:rPr>
        <w:rFonts w:cs="Arial"/>
        <w:sz w:val="16"/>
        <w:szCs w:val="16"/>
      </w:rPr>
      <w:t xml:space="preserve">: Guidance </w:t>
    </w:r>
    <w:r w:rsidR="00704954">
      <w:rPr>
        <w:rFonts w:cs="Arial"/>
        <w:sz w:val="16"/>
        <w:szCs w:val="16"/>
      </w:rPr>
      <w:t>D</w:t>
    </w:r>
    <w:r w:rsidRPr="47004F65">
      <w:rPr>
        <w:rFonts w:cs="Arial"/>
        <w:sz w:val="16"/>
        <w:szCs w:val="16"/>
      </w:rPr>
      <w:t>G(i)</w:t>
    </w:r>
    <w:r w:rsidR="003678F0">
      <w:t xml:space="preserve">                                  </w:t>
    </w:r>
    <w:r w:rsidRPr="47004F65">
      <w:rPr>
        <w:rFonts w:cs="Arial"/>
        <w:sz w:val="16"/>
        <w:szCs w:val="16"/>
      </w:rPr>
      <w:t>202</w:t>
    </w:r>
    <w:r w:rsidR="00FE2001">
      <w:rPr>
        <w:rFonts w:cs="Arial"/>
        <w:sz w:val="16"/>
        <w:szCs w:val="16"/>
      </w:rPr>
      <w:t>5</w:t>
    </w:r>
    <w:r w:rsidRPr="47004F65">
      <w:rPr>
        <w:rFonts w:cs="Arial"/>
        <w:sz w:val="16"/>
        <w:szCs w:val="16"/>
      </w:rPr>
      <w:t>-2</w:t>
    </w:r>
    <w:r w:rsidR="00FE2001">
      <w:rPr>
        <w:rFonts w:cs="Arial"/>
        <w:sz w:val="16"/>
        <w:szCs w:val="16"/>
      </w:rPr>
      <w:t>6</w:t>
    </w:r>
    <w:r w:rsidRPr="47004F65">
      <w:rPr>
        <w:rFonts w:cs="Arial"/>
        <w:sz w:val="16"/>
        <w:szCs w:val="16"/>
      </w:rPr>
      <w:t xml:space="preserve">                                     </w:t>
    </w:r>
    <w:r w:rsidR="003678F0">
      <w:rPr>
        <w:rFonts w:cs="Arial"/>
        <w:sz w:val="16"/>
        <w:szCs w:val="16"/>
      </w:rPr>
      <w:t xml:space="preserve">                                    </w:t>
    </w:r>
    <w:r w:rsidRPr="47004F65">
      <w:rPr>
        <w:rFonts w:cs="Arial"/>
        <w:sz w:val="16"/>
        <w:szCs w:val="16"/>
      </w:rPr>
      <w:t xml:space="preserve">               Page </w:t>
    </w:r>
    <w:r w:rsidR="007D3A7E" w:rsidRPr="47004F65">
      <w:rPr>
        <w:rFonts w:cs="Arial"/>
        <w:b/>
        <w:bCs/>
        <w:noProof/>
        <w:sz w:val="16"/>
        <w:szCs w:val="16"/>
      </w:rPr>
      <w:fldChar w:fldCharType="begin"/>
    </w:r>
    <w:r w:rsidR="007D3A7E" w:rsidRPr="47004F65">
      <w:rPr>
        <w:rFonts w:cs="Arial"/>
        <w:b/>
        <w:bCs/>
        <w:sz w:val="16"/>
        <w:szCs w:val="16"/>
      </w:rPr>
      <w:instrText xml:space="preserve"> PAGE </w:instrText>
    </w:r>
    <w:r w:rsidR="007D3A7E" w:rsidRPr="47004F65">
      <w:rPr>
        <w:rFonts w:cs="Arial"/>
        <w:b/>
        <w:bCs/>
        <w:sz w:val="16"/>
        <w:szCs w:val="16"/>
      </w:rPr>
      <w:fldChar w:fldCharType="separate"/>
    </w:r>
    <w:r w:rsidRPr="47004F65">
      <w:rPr>
        <w:rFonts w:cs="Arial"/>
        <w:b/>
        <w:bCs/>
        <w:noProof/>
        <w:sz w:val="16"/>
        <w:szCs w:val="16"/>
      </w:rPr>
      <w:t>1</w:t>
    </w:r>
    <w:r w:rsidR="007D3A7E" w:rsidRPr="47004F65">
      <w:rPr>
        <w:rFonts w:cs="Arial"/>
        <w:b/>
        <w:bCs/>
        <w:noProof/>
        <w:sz w:val="16"/>
        <w:szCs w:val="16"/>
      </w:rPr>
      <w:fldChar w:fldCharType="end"/>
    </w:r>
    <w:r w:rsidRPr="47004F65">
      <w:rPr>
        <w:rFonts w:cs="Arial"/>
        <w:sz w:val="16"/>
        <w:szCs w:val="16"/>
      </w:rPr>
      <w:t xml:space="preserve"> of </w:t>
    </w:r>
    <w:r w:rsidR="007D3A7E" w:rsidRPr="47004F65">
      <w:rPr>
        <w:rFonts w:cs="Arial"/>
        <w:b/>
        <w:bCs/>
        <w:noProof/>
        <w:sz w:val="16"/>
        <w:szCs w:val="16"/>
      </w:rPr>
      <w:fldChar w:fldCharType="begin"/>
    </w:r>
    <w:r w:rsidR="007D3A7E" w:rsidRPr="47004F65">
      <w:rPr>
        <w:rFonts w:cs="Arial"/>
        <w:b/>
        <w:bCs/>
        <w:sz w:val="16"/>
        <w:szCs w:val="16"/>
      </w:rPr>
      <w:instrText xml:space="preserve"> NUMPAGES  </w:instrText>
    </w:r>
    <w:r w:rsidR="007D3A7E" w:rsidRPr="47004F65">
      <w:rPr>
        <w:rFonts w:cs="Arial"/>
        <w:b/>
        <w:bCs/>
        <w:sz w:val="16"/>
        <w:szCs w:val="16"/>
      </w:rPr>
      <w:fldChar w:fldCharType="separate"/>
    </w:r>
    <w:r w:rsidRPr="47004F65">
      <w:rPr>
        <w:rFonts w:cs="Arial"/>
        <w:b/>
        <w:bCs/>
        <w:noProof/>
        <w:sz w:val="16"/>
        <w:szCs w:val="16"/>
      </w:rPr>
      <w:t>3</w:t>
    </w:r>
    <w:r w:rsidR="007D3A7E" w:rsidRPr="47004F65">
      <w:rPr>
        <w:rFonts w:cs="Arial"/>
        <w:b/>
        <w:bCs/>
        <w:noProof/>
        <w:sz w:val="16"/>
        <w:szCs w:val="16"/>
      </w:rPr>
      <w:fldChar w:fldCharType="end"/>
    </w:r>
  </w:p>
  <w:p w14:paraId="1A42ECE5" w14:textId="77777777" w:rsidR="005F3B1E" w:rsidRDefault="005F3B1E">
    <w:pPr>
      <w:pStyle w:val="Footer"/>
    </w:pPr>
  </w:p>
  <w:p w14:paraId="1486CBAF" w14:textId="77777777" w:rsidR="005F3B1E" w:rsidRDefault="005F3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EDFAF" w14:textId="77777777" w:rsidR="00C9404B" w:rsidRDefault="00C9404B" w:rsidP="005F3B1E">
      <w:r>
        <w:separator/>
      </w:r>
    </w:p>
  </w:footnote>
  <w:footnote w:type="continuationSeparator" w:id="0">
    <w:p w14:paraId="40BDE2DD" w14:textId="77777777" w:rsidR="00C9404B" w:rsidRDefault="00C9404B" w:rsidP="005F3B1E">
      <w:r>
        <w:continuationSeparator/>
      </w:r>
    </w:p>
  </w:footnote>
  <w:footnote w:type="continuationNotice" w:id="1">
    <w:p w14:paraId="6FA21183" w14:textId="77777777" w:rsidR="00C9404B" w:rsidRDefault="00C9404B">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240F"/>
    <w:multiLevelType w:val="hybridMultilevel"/>
    <w:tmpl w:val="17ECFDE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052D3D"/>
    <w:multiLevelType w:val="hybridMultilevel"/>
    <w:tmpl w:val="7A7EB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B416B"/>
    <w:multiLevelType w:val="hybridMultilevel"/>
    <w:tmpl w:val="C57A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F36F0F"/>
    <w:multiLevelType w:val="hybridMultilevel"/>
    <w:tmpl w:val="568E0884"/>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39A58DD"/>
    <w:multiLevelType w:val="hybridMultilevel"/>
    <w:tmpl w:val="CBB6C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C5FB7"/>
    <w:multiLevelType w:val="hybridMultilevel"/>
    <w:tmpl w:val="5E6022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DD3CA4"/>
    <w:multiLevelType w:val="hybridMultilevel"/>
    <w:tmpl w:val="0FF81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231CCA"/>
    <w:multiLevelType w:val="hybridMultilevel"/>
    <w:tmpl w:val="4162DD12"/>
    <w:lvl w:ilvl="0" w:tplc="994EC3C6">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D66212"/>
    <w:multiLevelType w:val="hybridMultilevel"/>
    <w:tmpl w:val="45927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524B2E"/>
    <w:multiLevelType w:val="hybridMultilevel"/>
    <w:tmpl w:val="C47AF77E"/>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0B62030"/>
    <w:multiLevelType w:val="hybridMultilevel"/>
    <w:tmpl w:val="23609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52C4A24"/>
    <w:multiLevelType w:val="hybridMultilevel"/>
    <w:tmpl w:val="2154EE14"/>
    <w:lvl w:ilvl="0" w:tplc="F4227924">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A6651E"/>
    <w:multiLevelType w:val="hybridMultilevel"/>
    <w:tmpl w:val="EDEE73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DDE28C3"/>
    <w:multiLevelType w:val="hybridMultilevel"/>
    <w:tmpl w:val="628E73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274392"/>
    <w:multiLevelType w:val="hybridMultilevel"/>
    <w:tmpl w:val="99A0F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2849718">
    <w:abstractNumId w:val="11"/>
  </w:num>
  <w:num w:numId="2" w16cid:durableId="92097944">
    <w:abstractNumId w:val="7"/>
  </w:num>
  <w:num w:numId="3" w16cid:durableId="698091382">
    <w:abstractNumId w:val="12"/>
  </w:num>
  <w:num w:numId="4" w16cid:durableId="134952244">
    <w:abstractNumId w:val="3"/>
  </w:num>
  <w:num w:numId="5" w16cid:durableId="425006568">
    <w:abstractNumId w:val="13"/>
  </w:num>
  <w:num w:numId="6" w16cid:durableId="525287226">
    <w:abstractNumId w:val="10"/>
  </w:num>
  <w:num w:numId="7" w16cid:durableId="654726524">
    <w:abstractNumId w:val="2"/>
  </w:num>
  <w:num w:numId="8" w16cid:durableId="1035041796">
    <w:abstractNumId w:val="6"/>
  </w:num>
  <w:num w:numId="9" w16cid:durableId="69280075">
    <w:abstractNumId w:val="14"/>
  </w:num>
  <w:num w:numId="10" w16cid:durableId="57048880">
    <w:abstractNumId w:val="4"/>
  </w:num>
  <w:num w:numId="11" w16cid:durableId="1812752009">
    <w:abstractNumId w:val="9"/>
  </w:num>
  <w:num w:numId="12" w16cid:durableId="42290589">
    <w:abstractNumId w:val="5"/>
  </w:num>
  <w:num w:numId="13" w16cid:durableId="862016894">
    <w:abstractNumId w:val="0"/>
  </w:num>
  <w:num w:numId="14" w16cid:durableId="1295989872">
    <w:abstractNumId w:val="8"/>
  </w:num>
  <w:num w:numId="15" w16cid:durableId="301429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CE7"/>
    <w:rsid w:val="000002E1"/>
    <w:rsid w:val="0000202E"/>
    <w:rsid w:val="00003833"/>
    <w:rsid w:val="000064D3"/>
    <w:rsid w:val="000079EC"/>
    <w:rsid w:val="00011600"/>
    <w:rsid w:val="00012B0F"/>
    <w:rsid w:val="00012B2F"/>
    <w:rsid w:val="00013B44"/>
    <w:rsid w:val="00013D97"/>
    <w:rsid w:val="00014CCC"/>
    <w:rsid w:val="000159E3"/>
    <w:rsid w:val="00020FB7"/>
    <w:rsid w:val="00021177"/>
    <w:rsid w:val="00021AFF"/>
    <w:rsid w:val="00021EA3"/>
    <w:rsid w:val="00022A9E"/>
    <w:rsid w:val="00022C89"/>
    <w:rsid w:val="00023EE0"/>
    <w:rsid w:val="00025B49"/>
    <w:rsid w:val="00026D21"/>
    <w:rsid w:val="000277F4"/>
    <w:rsid w:val="0003162F"/>
    <w:rsid w:val="0003175B"/>
    <w:rsid w:val="00031E53"/>
    <w:rsid w:val="00031FBB"/>
    <w:rsid w:val="00032DC8"/>
    <w:rsid w:val="000335E4"/>
    <w:rsid w:val="00033A10"/>
    <w:rsid w:val="0003562C"/>
    <w:rsid w:val="00035D6B"/>
    <w:rsid w:val="00037212"/>
    <w:rsid w:val="0003722D"/>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62CFE"/>
    <w:rsid w:val="0006370E"/>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873BE"/>
    <w:rsid w:val="000943DF"/>
    <w:rsid w:val="0009486D"/>
    <w:rsid w:val="000967F2"/>
    <w:rsid w:val="000A041D"/>
    <w:rsid w:val="000A4168"/>
    <w:rsid w:val="000A5C38"/>
    <w:rsid w:val="000A61FD"/>
    <w:rsid w:val="000A730B"/>
    <w:rsid w:val="000B0843"/>
    <w:rsid w:val="000B129A"/>
    <w:rsid w:val="000B269C"/>
    <w:rsid w:val="000B2713"/>
    <w:rsid w:val="000B4483"/>
    <w:rsid w:val="000B71DA"/>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1817"/>
    <w:rsid w:val="000F38C3"/>
    <w:rsid w:val="000F6E8D"/>
    <w:rsid w:val="001012A1"/>
    <w:rsid w:val="001018F0"/>
    <w:rsid w:val="00102DA0"/>
    <w:rsid w:val="001066A8"/>
    <w:rsid w:val="0010707B"/>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5CD3"/>
    <w:rsid w:val="001466F7"/>
    <w:rsid w:val="00146CB2"/>
    <w:rsid w:val="00146E3D"/>
    <w:rsid w:val="00147ABC"/>
    <w:rsid w:val="00151883"/>
    <w:rsid w:val="00152460"/>
    <w:rsid w:val="00154831"/>
    <w:rsid w:val="00157055"/>
    <w:rsid w:val="00160E05"/>
    <w:rsid w:val="001640D0"/>
    <w:rsid w:val="00164360"/>
    <w:rsid w:val="00165025"/>
    <w:rsid w:val="00165B4D"/>
    <w:rsid w:val="00165BCF"/>
    <w:rsid w:val="001665D4"/>
    <w:rsid w:val="00166D8E"/>
    <w:rsid w:val="00167F4C"/>
    <w:rsid w:val="00172B08"/>
    <w:rsid w:val="001731C4"/>
    <w:rsid w:val="00173266"/>
    <w:rsid w:val="001733C5"/>
    <w:rsid w:val="00174337"/>
    <w:rsid w:val="00181451"/>
    <w:rsid w:val="00183084"/>
    <w:rsid w:val="00185D46"/>
    <w:rsid w:val="001952A7"/>
    <w:rsid w:val="0019610A"/>
    <w:rsid w:val="001A104C"/>
    <w:rsid w:val="001A111E"/>
    <w:rsid w:val="001A1738"/>
    <w:rsid w:val="001A2444"/>
    <w:rsid w:val="001A27E2"/>
    <w:rsid w:val="001A3164"/>
    <w:rsid w:val="001A5630"/>
    <w:rsid w:val="001A756B"/>
    <w:rsid w:val="001B2282"/>
    <w:rsid w:val="001B523C"/>
    <w:rsid w:val="001B683B"/>
    <w:rsid w:val="001B7F12"/>
    <w:rsid w:val="001C0DD1"/>
    <w:rsid w:val="001C1257"/>
    <w:rsid w:val="001C1F00"/>
    <w:rsid w:val="001C3EDA"/>
    <w:rsid w:val="001C416E"/>
    <w:rsid w:val="001C4573"/>
    <w:rsid w:val="001C4C15"/>
    <w:rsid w:val="001D0537"/>
    <w:rsid w:val="001D0B09"/>
    <w:rsid w:val="001D0E9C"/>
    <w:rsid w:val="001D1149"/>
    <w:rsid w:val="001D7D6F"/>
    <w:rsid w:val="001E0808"/>
    <w:rsid w:val="001E0868"/>
    <w:rsid w:val="001E25CD"/>
    <w:rsid w:val="001E2DD8"/>
    <w:rsid w:val="001F0386"/>
    <w:rsid w:val="001F11AD"/>
    <w:rsid w:val="001F170F"/>
    <w:rsid w:val="001F3036"/>
    <w:rsid w:val="001F7A98"/>
    <w:rsid w:val="0020178F"/>
    <w:rsid w:val="00207199"/>
    <w:rsid w:val="00207D6E"/>
    <w:rsid w:val="00210A85"/>
    <w:rsid w:val="00213962"/>
    <w:rsid w:val="00213E69"/>
    <w:rsid w:val="00214BD4"/>
    <w:rsid w:val="00216E34"/>
    <w:rsid w:val="00216E66"/>
    <w:rsid w:val="00222220"/>
    <w:rsid w:val="00222973"/>
    <w:rsid w:val="00223D49"/>
    <w:rsid w:val="002245B5"/>
    <w:rsid w:val="00225103"/>
    <w:rsid w:val="002256F6"/>
    <w:rsid w:val="00227BD1"/>
    <w:rsid w:val="00231659"/>
    <w:rsid w:val="00232FBD"/>
    <w:rsid w:val="0023442D"/>
    <w:rsid w:val="00236731"/>
    <w:rsid w:val="00237043"/>
    <w:rsid w:val="002371A8"/>
    <w:rsid w:val="00241DCB"/>
    <w:rsid w:val="002421F8"/>
    <w:rsid w:val="00243B7B"/>
    <w:rsid w:val="0024644D"/>
    <w:rsid w:val="00251D6D"/>
    <w:rsid w:val="002527DE"/>
    <w:rsid w:val="00253A26"/>
    <w:rsid w:val="00254800"/>
    <w:rsid w:val="00255824"/>
    <w:rsid w:val="00256E5C"/>
    <w:rsid w:val="00260BC0"/>
    <w:rsid w:val="002617FA"/>
    <w:rsid w:val="0026262E"/>
    <w:rsid w:val="00263CAD"/>
    <w:rsid w:val="002644BD"/>
    <w:rsid w:val="00266EE8"/>
    <w:rsid w:val="002705C2"/>
    <w:rsid w:val="00270BD5"/>
    <w:rsid w:val="00272537"/>
    <w:rsid w:val="00272562"/>
    <w:rsid w:val="0027491B"/>
    <w:rsid w:val="002749F8"/>
    <w:rsid w:val="00275B94"/>
    <w:rsid w:val="00275E19"/>
    <w:rsid w:val="00276F09"/>
    <w:rsid w:val="00277A9A"/>
    <w:rsid w:val="00277EB9"/>
    <w:rsid w:val="00282B9E"/>
    <w:rsid w:val="002844A8"/>
    <w:rsid w:val="002845F2"/>
    <w:rsid w:val="00285162"/>
    <w:rsid w:val="00285566"/>
    <w:rsid w:val="00285BA5"/>
    <w:rsid w:val="0029012A"/>
    <w:rsid w:val="002929AD"/>
    <w:rsid w:val="0029445A"/>
    <w:rsid w:val="00295712"/>
    <w:rsid w:val="002959F8"/>
    <w:rsid w:val="002964D6"/>
    <w:rsid w:val="00297E58"/>
    <w:rsid w:val="002A54CF"/>
    <w:rsid w:val="002A743D"/>
    <w:rsid w:val="002A7F1F"/>
    <w:rsid w:val="002B0123"/>
    <w:rsid w:val="002B151C"/>
    <w:rsid w:val="002B2DC9"/>
    <w:rsid w:val="002B3AA4"/>
    <w:rsid w:val="002B4A08"/>
    <w:rsid w:val="002B7841"/>
    <w:rsid w:val="002C0A4F"/>
    <w:rsid w:val="002C1847"/>
    <w:rsid w:val="002C1C72"/>
    <w:rsid w:val="002C2FF9"/>
    <w:rsid w:val="002C587A"/>
    <w:rsid w:val="002C60C0"/>
    <w:rsid w:val="002D1E65"/>
    <w:rsid w:val="002D20BD"/>
    <w:rsid w:val="002D2BD1"/>
    <w:rsid w:val="002D31AE"/>
    <w:rsid w:val="002D34FA"/>
    <w:rsid w:val="002D509A"/>
    <w:rsid w:val="002D53E9"/>
    <w:rsid w:val="002D6467"/>
    <w:rsid w:val="002E396C"/>
    <w:rsid w:val="002E409E"/>
    <w:rsid w:val="002E4814"/>
    <w:rsid w:val="002E7B53"/>
    <w:rsid w:val="002F0443"/>
    <w:rsid w:val="002F1C7B"/>
    <w:rsid w:val="002F31FD"/>
    <w:rsid w:val="002F4B6F"/>
    <w:rsid w:val="002F54D4"/>
    <w:rsid w:val="002F5B31"/>
    <w:rsid w:val="002F5FB1"/>
    <w:rsid w:val="002F6368"/>
    <w:rsid w:val="002F6DE3"/>
    <w:rsid w:val="00300689"/>
    <w:rsid w:val="003015EC"/>
    <w:rsid w:val="0030364C"/>
    <w:rsid w:val="003039D8"/>
    <w:rsid w:val="003048CC"/>
    <w:rsid w:val="00305D1C"/>
    <w:rsid w:val="00305E1E"/>
    <w:rsid w:val="00310AD9"/>
    <w:rsid w:val="00312275"/>
    <w:rsid w:val="003135B3"/>
    <w:rsid w:val="0031505B"/>
    <w:rsid w:val="00316319"/>
    <w:rsid w:val="00317027"/>
    <w:rsid w:val="00317992"/>
    <w:rsid w:val="00324F2B"/>
    <w:rsid w:val="003254EA"/>
    <w:rsid w:val="00327695"/>
    <w:rsid w:val="003353B6"/>
    <w:rsid w:val="00336761"/>
    <w:rsid w:val="00336E22"/>
    <w:rsid w:val="0034014C"/>
    <w:rsid w:val="0034048B"/>
    <w:rsid w:val="00343A01"/>
    <w:rsid w:val="00343FFD"/>
    <w:rsid w:val="00344425"/>
    <w:rsid w:val="00344684"/>
    <w:rsid w:val="00345A77"/>
    <w:rsid w:val="00346233"/>
    <w:rsid w:val="00347401"/>
    <w:rsid w:val="00350424"/>
    <w:rsid w:val="0035146A"/>
    <w:rsid w:val="00351864"/>
    <w:rsid w:val="003551E2"/>
    <w:rsid w:val="0035651B"/>
    <w:rsid w:val="00362719"/>
    <w:rsid w:val="003629D3"/>
    <w:rsid w:val="00362E57"/>
    <w:rsid w:val="003634A9"/>
    <w:rsid w:val="00363768"/>
    <w:rsid w:val="003643C9"/>
    <w:rsid w:val="003660F4"/>
    <w:rsid w:val="003666FC"/>
    <w:rsid w:val="003678F0"/>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1CFC"/>
    <w:rsid w:val="003A5B5C"/>
    <w:rsid w:val="003B0ABE"/>
    <w:rsid w:val="003B2785"/>
    <w:rsid w:val="003B510A"/>
    <w:rsid w:val="003B5132"/>
    <w:rsid w:val="003B6AC7"/>
    <w:rsid w:val="003C0336"/>
    <w:rsid w:val="003C0390"/>
    <w:rsid w:val="003C1656"/>
    <w:rsid w:val="003C2084"/>
    <w:rsid w:val="003C2B95"/>
    <w:rsid w:val="003C2D61"/>
    <w:rsid w:val="003C6975"/>
    <w:rsid w:val="003C6AD3"/>
    <w:rsid w:val="003C6D22"/>
    <w:rsid w:val="003D03F3"/>
    <w:rsid w:val="003D0CFC"/>
    <w:rsid w:val="003D175B"/>
    <w:rsid w:val="003D38AD"/>
    <w:rsid w:val="003D5838"/>
    <w:rsid w:val="003D5DD6"/>
    <w:rsid w:val="003D7DEA"/>
    <w:rsid w:val="003D7E5E"/>
    <w:rsid w:val="003E054F"/>
    <w:rsid w:val="003E0BA5"/>
    <w:rsid w:val="003E0CA7"/>
    <w:rsid w:val="003E2903"/>
    <w:rsid w:val="003E2ED0"/>
    <w:rsid w:val="003E5E0F"/>
    <w:rsid w:val="003E65E8"/>
    <w:rsid w:val="003E6E04"/>
    <w:rsid w:val="003E7DC7"/>
    <w:rsid w:val="003F0E1B"/>
    <w:rsid w:val="003F16D9"/>
    <w:rsid w:val="003F674C"/>
    <w:rsid w:val="00400447"/>
    <w:rsid w:val="00403A8F"/>
    <w:rsid w:val="00407C56"/>
    <w:rsid w:val="00410C44"/>
    <w:rsid w:val="00410D14"/>
    <w:rsid w:val="004143B7"/>
    <w:rsid w:val="004146C9"/>
    <w:rsid w:val="00414DF4"/>
    <w:rsid w:val="004160DA"/>
    <w:rsid w:val="00422320"/>
    <w:rsid w:val="00424B0F"/>
    <w:rsid w:val="00424BC6"/>
    <w:rsid w:val="0042527C"/>
    <w:rsid w:val="0042572B"/>
    <w:rsid w:val="00426298"/>
    <w:rsid w:val="00426D4B"/>
    <w:rsid w:val="004319E0"/>
    <w:rsid w:val="0043276E"/>
    <w:rsid w:val="00436DCF"/>
    <w:rsid w:val="00437580"/>
    <w:rsid w:val="0043796E"/>
    <w:rsid w:val="00443D98"/>
    <w:rsid w:val="00443E71"/>
    <w:rsid w:val="004526AD"/>
    <w:rsid w:val="00452A72"/>
    <w:rsid w:val="00453E97"/>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4EEB"/>
    <w:rsid w:val="00487EC8"/>
    <w:rsid w:val="004911B3"/>
    <w:rsid w:val="00492AF5"/>
    <w:rsid w:val="0049317E"/>
    <w:rsid w:val="00494382"/>
    <w:rsid w:val="00494C0F"/>
    <w:rsid w:val="004A1B40"/>
    <w:rsid w:val="004A3A16"/>
    <w:rsid w:val="004A4F0B"/>
    <w:rsid w:val="004A586E"/>
    <w:rsid w:val="004A79D4"/>
    <w:rsid w:val="004B0460"/>
    <w:rsid w:val="004B6620"/>
    <w:rsid w:val="004B6B76"/>
    <w:rsid w:val="004B6C15"/>
    <w:rsid w:val="004C1279"/>
    <w:rsid w:val="004C2A97"/>
    <w:rsid w:val="004C302E"/>
    <w:rsid w:val="004C4B02"/>
    <w:rsid w:val="004C5AD1"/>
    <w:rsid w:val="004C6DCA"/>
    <w:rsid w:val="004D00A3"/>
    <w:rsid w:val="004D39AC"/>
    <w:rsid w:val="004D44DA"/>
    <w:rsid w:val="004D4509"/>
    <w:rsid w:val="004D58B8"/>
    <w:rsid w:val="004E0D2B"/>
    <w:rsid w:val="004E54E1"/>
    <w:rsid w:val="004E6270"/>
    <w:rsid w:val="004E6E92"/>
    <w:rsid w:val="004F1061"/>
    <w:rsid w:val="004F1498"/>
    <w:rsid w:val="004F238B"/>
    <w:rsid w:val="004F34D5"/>
    <w:rsid w:val="004F486D"/>
    <w:rsid w:val="004F606A"/>
    <w:rsid w:val="005008F2"/>
    <w:rsid w:val="0050528F"/>
    <w:rsid w:val="00507F2C"/>
    <w:rsid w:val="00511B47"/>
    <w:rsid w:val="00515447"/>
    <w:rsid w:val="00517772"/>
    <w:rsid w:val="005204BB"/>
    <w:rsid w:val="00524C00"/>
    <w:rsid w:val="0052669E"/>
    <w:rsid w:val="00526F9B"/>
    <w:rsid w:val="00527063"/>
    <w:rsid w:val="00527F60"/>
    <w:rsid w:val="00530BDB"/>
    <w:rsid w:val="00533183"/>
    <w:rsid w:val="00535F49"/>
    <w:rsid w:val="00536C7D"/>
    <w:rsid w:val="00536CDF"/>
    <w:rsid w:val="00537293"/>
    <w:rsid w:val="00540441"/>
    <w:rsid w:val="005405D1"/>
    <w:rsid w:val="00542BF2"/>
    <w:rsid w:val="00542F3A"/>
    <w:rsid w:val="0054349D"/>
    <w:rsid w:val="00543A7A"/>
    <w:rsid w:val="00544FA7"/>
    <w:rsid w:val="00546D83"/>
    <w:rsid w:val="00547197"/>
    <w:rsid w:val="0055161E"/>
    <w:rsid w:val="00552FA6"/>
    <w:rsid w:val="00560EA6"/>
    <w:rsid w:val="00561317"/>
    <w:rsid w:val="00561905"/>
    <w:rsid w:val="00561D5A"/>
    <w:rsid w:val="00562601"/>
    <w:rsid w:val="0056273B"/>
    <w:rsid w:val="005641C1"/>
    <w:rsid w:val="00565507"/>
    <w:rsid w:val="00567C0E"/>
    <w:rsid w:val="005731ED"/>
    <w:rsid w:val="005738D0"/>
    <w:rsid w:val="00575308"/>
    <w:rsid w:val="00575CEA"/>
    <w:rsid w:val="005774E2"/>
    <w:rsid w:val="0057783B"/>
    <w:rsid w:val="00582345"/>
    <w:rsid w:val="00582F93"/>
    <w:rsid w:val="0058724A"/>
    <w:rsid w:val="0058730B"/>
    <w:rsid w:val="00587D48"/>
    <w:rsid w:val="00587ED8"/>
    <w:rsid w:val="00590B5E"/>
    <w:rsid w:val="0059219C"/>
    <w:rsid w:val="00597EFD"/>
    <w:rsid w:val="005A1534"/>
    <w:rsid w:val="005A3159"/>
    <w:rsid w:val="005A3278"/>
    <w:rsid w:val="005A3D2A"/>
    <w:rsid w:val="005A478F"/>
    <w:rsid w:val="005A587E"/>
    <w:rsid w:val="005A76AA"/>
    <w:rsid w:val="005B1518"/>
    <w:rsid w:val="005B18E1"/>
    <w:rsid w:val="005B3BE3"/>
    <w:rsid w:val="005B4C28"/>
    <w:rsid w:val="005C0B3C"/>
    <w:rsid w:val="005C2054"/>
    <w:rsid w:val="005C2CCE"/>
    <w:rsid w:val="005C3910"/>
    <w:rsid w:val="005C5B50"/>
    <w:rsid w:val="005C5B68"/>
    <w:rsid w:val="005C77F7"/>
    <w:rsid w:val="005D02E8"/>
    <w:rsid w:val="005D06D3"/>
    <w:rsid w:val="005D1CCC"/>
    <w:rsid w:val="005D3897"/>
    <w:rsid w:val="005D3B08"/>
    <w:rsid w:val="005D5A87"/>
    <w:rsid w:val="005D666A"/>
    <w:rsid w:val="005D75CA"/>
    <w:rsid w:val="005D7877"/>
    <w:rsid w:val="005D7BD4"/>
    <w:rsid w:val="005E331C"/>
    <w:rsid w:val="005E3608"/>
    <w:rsid w:val="005F04C5"/>
    <w:rsid w:val="005F2A84"/>
    <w:rsid w:val="005F2ACE"/>
    <w:rsid w:val="005F3A67"/>
    <w:rsid w:val="005F3B1E"/>
    <w:rsid w:val="005F6304"/>
    <w:rsid w:val="005F6FF6"/>
    <w:rsid w:val="00600093"/>
    <w:rsid w:val="006024B5"/>
    <w:rsid w:val="00602C0C"/>
    <w:rsid w:val="00606381"/>
    <w:rsid w:val="006066F3"/>
    <w:rsid w:val="0060773C"/>
    <w:rsid w:val="00610185"/>
    <w:rsid w:val="006120FE"/>
    <w:rsid w:val="00612CC7"/>
    <w:rsid w:val="00613075"/>
    <w:rsid w:val="00613F07"/>
    <w:rsid w:val="00614C70"/>
    <w:rsid w:val="00616347"/>
    <w:rsid w:val="00616BBE"/>
    <w:rsid w:val="006202DD"/>
    <w:rsid w:val="006208F9"/>
    <w:rsid w:val="00621091"/>
    <w:rsid w:val="00622DFC"/>
    <w:rsid w:val="00623EAC"/>
    <w:rsid w:val="00624260"/>
    <w:rsid w:val="0062439E"/>
    <w:rsid w:val="00624847"/>
    <w:rsid w:val="00627598"/>
    <w:rsid w:val="0063120B"/>
    <w:rsid w:val="00631680"/>
    <w:rsid w:val="006326B1"/>
    <w:rsid w:val="006334E1"/>
    <w:rsid w:val="0063596C"/>
    <w:rsid w:val="00636F59"/>
    <w:rsid w:val="00640FC1"/>
    <w:rsid w:val="0064256A"/>
    <w:rsid w:val="006425D2"/>
    <w:rsid w:val="00642F9F"/>
    <w:rsid w:val="006433A0"/>
    <w:rsid w:val="006433B3"/>
    <w:rsid w:val="006440CF"/>
    <w:rsid w:val="00646C4F"/>
    <w:rsid w:val="00646D16"/>
    <w:rsid w:val="00651960"/>
    <w:rsid w:val="00653626"/>
    <w:rsid w:val="006550A0"/>
    <w:rsid w:val="00655908"/>
    <w:rsid w:val="00657CE2"/>
    <w:rsid w:val="00660D43"/>
    <w:rsid w:val="00662FFF"/>
    <w:rsid w:val="00663091"/>
    <w:rsid w:val="0066555D"/>
    <w:rsid w:val="00665579"/>
    <w:rsid w:val="00665DE8"/>
    <w:rsid w:val="006663F7"/>
    <w:rsid w:val="00670932"/>
    <w:rsid w:val="00671182"/>
    <w:rsid w:val="00671EE7"/>
    <w:rsid w:val="00672ABC"/>
    <w:rsid w:val="00675AFB"/>
    <w:rsid w:val="00675BAC"/>
    <w:rsid w:val="0068111F"/>
    <w:rsid w:val="00682679"/>
    <w:rsid w:val="0068372C"/>
    <w:rsid w:val="00683B64"/>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2A23"/>
    <w:rsid w:val="006C3710"/>
    <w:rsid w:val="006C4299"/>
    <w:rsid w:val="006C43C2"/>
    <w:rsid w:val="006C4EA8"/>
    <w:rsid w:val="006C525D"/>
    <w:rsid w:val="006C7663"/>
    <w:rsid w:val="006C7DCD"/>
    <w:rsid w:val="006D0605"/>
    <w:rsid w:val="006D14F5"/>
    <w:rsid w:val="006D31F2"/>
    <w:rsid w:val="006D6A32"/>
    <w:rsid w:val="006E0077"/>
    <w:rsid w:val="006E3282"/>
    <w:rsid w:val="006E34F8"/>
    <w:rsid w:val="006E5306"/>
    <w:rsid w:val="006E58FE"/>
    <w:rsid w:val="006E668B"/>
    <w:rsid w:val="006E6BD9"/>
    <w:rsid w:val="006F06B7"/>
    <w:rsid w:val="006F1A89"/>
    <w:rsid w:val="006F31A9"/>
    <w:rsid w:val="006F325C"/>
    <w:rsid w:val="006F500E"/>
    <w:rsid w:val="006F5590"/>
    <w:rsid w:val="006F55B1"/>
    <w:rsid w:val="006F5A99"/>
    <w:rsid w:val="006F75E2"/>
    <w:rsid w:val="00702333"/>
    <w:rsid w:val="007031C0"/>
    <w:rsid w:val="00704954"/>
    <w:rsid w:val="0070558B"/>
    <w:rsid w:val="0070695A"/>
    <w:rsid w:val="00706BBD"/>
    <w:rsid w:val="00706DA2"/>
    <w:rsid w:val="007071C3"/>
    <w:rsid w:val="0070789D"/>
    <w:rsid w:val="00707DFB"/>
    <w:rsid w:val="00710F8F"/>
    <w:rsid w:val="00711D3F"/>
    <w:rsid w:val="007127E2"/>
    <w:rsid w:val="00712CBB"/>
    <w:rsid w:val="00713604"/>
    <w:rsid w:val="00717F20"/>
    <w:rsid w:val="0072118C"/>
    <w:rsid w:val="00724192"/>
    <w:rsid w:val="00724A36"/>
    <w:rsid w:val="0072558B"/>
    <w:rsid w:val="0072593B"/>
    <w:rsid w:val="0072711C"/>
    <w:rsid w:val="00730E4C"/>
    <w:rsid w:val="00731BD5"/>
    <w:rsid w:val="0073208B"/>
    <w:rsid w:val="00734046"/>
    <w:rsid w:val="007353E7"/>
    <w:rsid w:val="007357B3"/>
    <w:rsid w:val="0073606D"/>
    <w:rsid w:val="007360C9"/>
    <w:rsid w:val="007374C2"/>
    <w:rsid w:val="007444E8"/>
    <w:rsid w:val="00750C9C"/>
    <w:rsid w:val="00751646"/>
    <w:rsid w:val="00751A0A"/>
    <w:rsid w:val="00754CE0"/>
    <w:rsid w:val="00755976"/>
    <w:rsid w:val="00756747"/>
    <w:rsid w:val="007569C9"/>
    <w:rsid w:val="00762C27"/>
    <w:rsid w:val="00764310"/>
    <w:rsid w:val="00764DB1"/>
    <w:rsid w:val="00765AAB"/>
    <w:rsid w:val="00767AC5"/>
    <w:rsid w:val="0077008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A010F"/>
    <w:rsid w:val="007A0558"/>
    <w:rsid w:val="007A2371"/>
    <w:rsid w:val="007A3449"/>
    <w:rsid w:val="007A4381"/>
    <w:rsid w:val="007A4538"/>
    <w:rsid w:val="007A45F6"/>
    <w:rsid w:val="007A4B3C"/>
    <w:rsid w:val="007A5442"/>
    <w:rsid w:val="007A54E3"/>
    <w:rsid w:val="007A7360"/>
    <w:rsid w:val="007B18E5"/>
    <w:rsid w:val="007B2265"/>
    <w:rsid w:val="007B22BD"/>
    <w:rsid w:val="007B36E6"/>
    <w:rsid w:val="007B4831"/>
    <w:rsid w:val="007B4CF3"/>
    <w:rsid w:val="007B53BB"/>
    <w:rsid w:val="007B65A2"/>
    <w:rsid w:val="007B7225"/>
    <w:rsid w:val="007B7E78"/>
    <w:rsid w:val="007B7F93"/>
    <w:rsid w:val="007C0B75"/>
    <w:rsid w:val="007C25B6"/>
    <w:rsid w:val="007C5185"/>
    <w:rsid w:val="007C5A87"/>
    <w:rsid w:val="007D010F"/>
    <w:rsid w:val="007D2A0C"/>
    <w:rsid w:val="007D2E85"/>
    <w:rsid w:val="007D3A7E"/>
    <w:rsid w:val="007D4EE7"/>
    <w:rsid w:val="007D52CF"/>
    <w:rsid w:val="007D53C4"/>
    <w:rsid w:val="007D750C"/>
    <w:rsid w:val="007E15F2"/>
    <w:rsid w:val="007E2A3A"/>
    <w:rsid w:val="007E3FF7"/>
    <w:rsid w:val="007E69DF"/>
    <w:rsid w:val="007F19A8"/>
    <w:rsid w:val="007F2222"/>
    <w:rsid w:val="007F2EF2"/>
    <w:rsid w:val="007F2F4D"/>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14E"/>
    <w:rsid w:val="00817E13"/>
    <w:rsid w:val="00820207"/>
    <w:rsid w:val="00820577"/>
    <w:rsid w:val="00821FFD"/>
    <w:rsid w:val="00822794"/>
    <w:rsid w:val="008228FF"/>
    <w:rsid w:val="008239ED"/>
    <w:rsid w:val="00826C54"/>
    <w:rsid w:val="00826CE7"/>
    <w:rsid w:val="008275D6"/>
    <w:rsid w:val="0083054A"/>
    <w:rsid w:val="008317AD"/>
    <w:rsid w:val="00840881"/>
    <w:rsid w:val="008459E9"/>
    <w:rsid w:val="008461CC"/>
    <w:rsid w:val="00846BDE"/>
    <w:rsid w:val="00851112"/>
    <w:rsid w:val="00851148"/>
    <w:rsid w:val="00851581"/>
    <w:rsid w:val="00851C26"/>
    <w:rsid w:val="0085359F"/>
    <w:rsid w:val="00854DCC"/>
    <w:rsid w:val="0086044A"/>
    <w:rsid w:val="00860557"/>
    <w:rsid w:val="00861A1D"/>
    <w:rsid w:val="00862FBD"/>
    <w:rsid w:val="0086753E"/>
    <w:rsid w:val="00872AD9"/>
    <w:rsid w:val="00874114"/>
    <w:rsid w:val="00880218"/>
    <w:rsid w:val="008808A5"/>
    <w:rsid w:val="00883295"/>
    <w:rsid w:val="0088447A"/>
    <w:rsid w:val="00885183"/>
    <w:rsid w:val="00885267"/>
    <w:rsid w:val="00891514"/>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15A7"/>
    <w:rsid w:val="008D4596"/>
    <w:rsid w:val="008D45CC"/>
    <w:rsid w:val="008D4B49"/>
    <w:rsid w:val="008D6187"/>
    <w:rsid w:val="008D65C0"/>
    <w:rsid w:val="008D7336"/>
    <w:rsid w:val="008D78CE"/>
    <w:rsid w:val="008E0EB9"/>
    <w:rsid w:val="008E133E"/>
    <w:rsid w:val="008E6905"/>
    <w:rsid w:val="008F18DB"/>
    <w:rsid w:val="008F1AA3"/>
    <w:rsid w:val="008F3DA2"/>
    <w:rsid w:val="008F40D6"/>
    <w:rsid w:val="008F4B19"/>
    <w:rsid w:val="008F5302"/>
    <w:rsid w:val="008F6417"/>
    <w:rsid w:val="008F752F"/>
    <w:rsid w:val="009007A0"/>
    <w:rsid w:val="0090164C"/>
    <w:rsid w:val="00907D9D"/>
    <w:rsid w:val="00915BC0"/>
    <w:rsid w:val="009168B6"/>
    <w:rsid w:val="00917772"/>
    <w:rsid w:val="00920A86"/>
    <w:rsid w:val="009248D5"/>
    <w:rsid w:val="0092498C"/>
    <w:rsid w:val="009251E4"/>
    <w:rsid w:val="00925C12"/>
    <w:rsid w:val="00925ED6"/>
    <w:rsid w:val="00930173"/>
    <w:rsid w:val="009314B7"/>
    <w:rsid w:val="00931B64"/>
    <w:rsid w:val="009344C0"/>
    <w:rsid w:val="00935CC8"/>
    <w:rsid w:val="00935D2F"/>
    <w:rsid w:val="00940889"/>
    <w:rsid w:val="00940DE1"/>
    <w:rsid w:val="00941DFD"/>
    <w:rsid w:val="009427EA"/>
    <w:rsid w:val="009447FF"/>
    <w:rsid w:val="00944A50"/>
    <w:rsid w:val="00945196"/>
    <w:rsid w:val="00946377"/>
    <w:rsid w:val="0094719C"/>
    <w:rsid w:val="009506A8"/>
    <w:rsid w:val="009509D0"/>
    <w:rsid w:val="00951199"/>
    <w:rsid w:val="009529BD"/>
    <w:rsid w:val="00954D7D"/>
    <w:rsid w:val="009557ED"/>
    <w:rsid w:val="00957626"/>
    <w:rsid w:val="009605EE"/>
    <w:rsid w:val="00962492"/>
    <w:rsid w:val="00962508"/>
    <w:rsid w:val="00963226"/>
    <w:rsid w:val="009633C0"/>
    <w:rsid w:val="009638ED"/>
    <w:rsid w:val="00963B38"/>
    <w:rsid w:val="00963ED4"/>
    <w:rsid w:val="00964ED7"/>
    <w:rsid w:val="00966F76"/>
    <w:rsid w:val="009707E1"/>
    <w:rsid w:val="00973BF5"/>
    <w:rsid w:val="009742DA"/>
    <w:rsid w:val="00974B9B"/>
    <w:rsid w:val="00974F54"/>
    <w:rsid w:val="00975C3B"/>
    <w:rsid w:val="00976530"/>
    <w:rsid w:val="0097682C"/>
    <w:rsid w:val="009769B4"/>
    <w:rsid w:val="0097737A"/>
    <w:rsid w:val="00982D29"/>
    <w:rsid w:val="0098444C"/>
    <w:rsid w:val="0098510C"/>
    <w:rsid w:val="009854E1"/>
    <w:rsid w:val="00991377"/>
    <w:rsid w:val="00991C73"/>
    <w:rsid w:val="0099322F"/>
    <w:rsid w:val="00996422"/>
    <w:rsid w:val="0099669C"/>
    <w:rsid w:val="009969BF"/>
    <w:rsid w:val="0099706E"/>
    <w:rsid w:val="009A0280"/>
    <w:rsid w:val="009A4EBD"/>
    <w:rsid w:val="009A50A2"/>
    <w:rsid w:val="009A51FA"/>
    <w:rsid w:val="009A52C2"/>
    <w:rsid w:val="009A5782"/>
    <w:rsid w:val="009A647C"/>
    <w:rsid w:val="009A667F"/>
    <w:rsid w:val="009A6807"/>
    <w:rsid w:val="009A6A66"/>
    <w:rsid w:val="009A751D"/>
    <w:rsid w:val="009B23BC"/>
    <w:rsid w:val="009B2D98"/>
    <w:rsid w:val="009B370B"/>
    <w:rsid w:val="009B3CC7"/>
    <w:rsid w:val="009B45BF"/>
    <w:rsid w:val="009B49F2"/>
    <w:rsid w:val="009C2E4F"/>
    <w:rsid w:val="009C35C7"/>
    <w:rsid w:val="009C3E60"/>
    <w:rsid w:val="009C3F2A"/>
    <w:rsid w:val="009C725A"/>
    <w:rsid w:val="009D054E"/>
    <w:rsid w:val="009D39C2"/>
    <w:rsid w:val="009D5FB2"/>
    <w:rsid w:val="009D699E"/>
    <w:rsid w:val="009E131A"/>
    <w:rsid w:val="009E5A35"/>
    <w:rsid w:val="009E621A"/>
    <w:rsid w:val="009F093A"/>
    <w:rsid w:val="00A01793"/>
    <w:rsid w:val="00A0204F"/>
    <w:rsid w:val="00A04723"/>
    <w:rsid w:val="00A05907"/>
    <w:rsid w:val="00A0643A"/>
    <w:rsid w:val="00A068B5"/>
    <w:rsid w:val="00A07000"/>
    <w:rsid w:val="00A07745"/>
    <w:rsid w:val="00A0797E"/>
    <w:rsid w:val="00A11517"/>
    <w:rsid w:val="00A13239"/>
    <w:rsid w:val="00A14309"/>
    <w:rsid w:val="00A15053"/>
    <w:rsid w:val="00A1613F"/>
    <w:rsid w:val="00A1679B"/>
    <w:rsid w:val="00A179DA"/>
    <w:rsid w:val="00A20811"/>
    <w:rsid w:val="00A20B25"/>
    <w:rsid w:val="00A22369"/>
    <w:rsid w:val="00A22F42"/>
    <w:rsid w:val="00A231CB"/>
    <w:rsid w:val="00A236CA"/>
    <w:rsid w:val="00A24F0A"/>
    <w:rsid w:val="00A2569C"/>
    <w:rsid w:val="00A27A13"/>
    <w:rsid w:val="00A3172F"/>
    <w:rsid w:val="00A31D64"/>
    <w:rsid w:val="00A31EBC"/>
    <w:rsid w:val="00A34AAB"/>
    <w:rsid w:val="00A34EB8"/>
    <w:rsid w:val="00A3578F"/>
    <w:rsid w:val="00A35C28"/>
    <w:rsid w:val="00A35F9C"/>
    <w:rsid w:val="00A40925"/>
    <w:rsid w:val="00A43B07"/>
    <w:rsid w:val="00A46313"/>
    <w:rsid w:val="00A5171B"/>
    <w:rsid w:val="00A51DBE"/>
    <w:rsid w:val="00A52EFA"/>
    <w:rsid w:val="00A5380C"/>
    <w:rsid w:val="00A557BD"/>
    <w:rsid w:val="00A62B09"/>
    <w:rsid w:val="00A6328F"/>
    <w:rsid w:val="00A647FC"/>
    <w:rsid w:val="00A65044"/>
    <w:rsid w:val="00A659BE"/>
    <w:rsid w:val="00A66317"/>
    <w:rsid w:val="00A67DDA"/>
    <w:rsid w:val="00A67E02"/>
    <w:rsid w:val="00A73502"/>
    <w:rsid w:val="00A77328"/>
    <w:rsid w:val="00A77E08"/>
    <w:rsid w:val="00A80213"/>
    <w:rsid w:val="00A82BFB"/>
    <w:rsid w:val="00A873FD"/>
    <w:rsid w:val="00A87EAE"/>
    <w:rsid w:val="00A912F9"/>
    <w:rsid w:val="00A923A8"/>
    <w:rsid w:val="00A92ACE"/>
    <w:rsid w:val="00A94A29"/>
    <w:rsid w:val="00A96C14"/>
    <w:rsid w:val="00A970E9"/>
    <w:rsid w:val="00AA0516"/>
    <w:rsid w:val="00AA4C98"/>
    <w:rsid w:val="00AA4E2A"/>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B7A52"/>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4E45"/>
    <w:rsid w:val="00AD7356"/>
    <w:rsid w:val="00AE0869"/>
    <w:rsid w:val="00AE2BF4"/>
    <w:rsid w:val="00AE3076"/>
    <w:rsid w:val="00AE3E8A"/>
    <w:rsid w:val="00AE4DA1"/>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5D93"/>
    <w:rsid w:val="00B0617A"/>
    <w:rsid w:val="00B06772"/>
    <w:rsid w:val="00B1339C"/>
    <w:rsid w:val="00B14C38"/>
    <w:rsid w:val="00B15A2C"/>
    <w:rsid w:val="00B17741"/>
    <w:rsid w:val="00B17CDC"/>
    <w:rsid w:val="00B20952"/>
    <w:rsid w:val="00B23937"/>
    <w:rsid w:val="00B23B35"/>
    <w:rsid w:val="00B26BDB"/>
    <w:rsid w:val="00B32E76"/>
    <w:rsid w:val="00B348EB"/>
    <w:rsid w:val="00B357EB"/>
    <w:rsid w:val="00B371C8"/>
    <w:rsid w:val="00B40A2C"/>
    <w:rsid w:val="00B43893"/>
    <w:rsid w:val="00B44388"/>
    <w:rsid w:val="00B4720B"/>
    <w:rsid w:val="00B47933"/>
    <w:rsid w:val="00B506F9"/>
    <w:rsid w:val="00B51F27"/>
    <w:rsid w:val="00B53DB9"/>
    <w:rsid w:val="00B56E73"/>
    <w:rsid w:val="00B57A95"/>
    <w:rsid w:val="00B620CD"/>
    <w:rsid w:val="00B65512"/>
    <w:rsid w:val="00B65A8B"/>
    <w:rsid w:val="00B66FE6"/>
    <w:rsid w:val="00B72FDE"/>
    <w:rsid w:val="00B73471"/>
    <w:rsid w:val="00B74BB1"/>
    <w:rsid w:val="00B75137"/>
    <w:rsid w:val="00B76072"/>
    <w:rsid w:val="00B7775A"/>
    <w:rsid w:val="00B803AA"/>
    <w:rsid w:val="00B82008"/>
    <w:rsid w:val="00B84222"/>
    <w:rsid w:val="00B86501"/>
    <w:rsid w:val="00B871FC"/>
    <w:rsid w:val="00B87678"/>
    <w:rsid w:val="00B9065C"/>
    <w:rsid w:val="00B92B9A"/>
    <w:rsid w:val="00B94572"/>
    <w:rsid w:val="00B95CED"/>
    <w:rsid w:val="00B96F93"/>
    <w:rsid w:val="00BA160F"/>
    <w:rsid w:val="00BA162C"/>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F0752"/>
    <w:rsid w:val="00BF1261"/>
    <w:rsid w:val="00BF138B"/>
    <w:rsid w:val="00BF334C"/>
    <w:rsid w:val="00BF67E2"/>
    <w:rsid w:val="00C02B56"/>
    <w:rsid w:val="00C02EC3"/>
    <w:rsid w:val="00C038AE"/>
    <w:rsid w:val="00C06420"/>
    <w:rsid w:val="00C10B34"/>
    <w:rsid w:val="00C11A8A"/>
    <w:rsid w:val="00C12087"/>
    <w:rsid w:val="00C1484C"/>
    <w:rsid w:val="00C15385"/>
    <w:rsid w:val="00C2068E"/>
    <w:rsid w:val="00C21DF7"/>
    <w:rsid w:val="00C2245F"/>
    <w:rsid w:val="00C2473A"/>
    <w:rsid w:val="00C26DC9"/>
    <w:rsid w:val="00C303AD"/>
    <w:rsid w:val="00C3067E"/>
    <w:rsid w:val="00C32E76"/>
    <w:rsid w:val="00C34F98"/>
    <w:rsid w:val="00C36986"/>
    <w:rsid w:val="00C37E41"/>
    <w:rsid w:val="00C43756"/>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6762D"/>
    <w:rsid w:val="00C70103"/>
    <w:rsid w:val="00C713C7"/>
    <w:rsid w:val="00C72E60"/>
    <w:rsid w:val="00C748E4"/>
    <w:rsid w:val="00C755DA"/>
    <w:rsid w:val="00C770B8"/>
    <w:rsid w:val="00C805CF"/>
    <w:rsid w:val="00C840AF"/>
    <w:rsid w:val="00C87A5C"/>
    <w:rsid w:val="00C904B1"/>
    <w:rsid w:val="00C91ADC"/>
    <w:rsid w:val="00C9404B"/>
    <w:rsid w:val="00C940BC"/>
    <w:rsid w:val="00C950BE"/>
    <w:rsid w:val="00C951A1"/>
    <w:rsid w:val="00C959D3"/>
    <w:rsid w:val="00C96322"/>
    <w:rsid w:val="00CA0338"/>
    <w:rsid w:val="00CA0413"/>
    <w:rsid w:val="00CA0527"/>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5C1E"/>
    <w:rsid w:val="00CE70DF"/>
    <w:rsid w:val="00CF199F"/>
    <w:rsid w:val="00CF5134"/>
    <w:rsid w:val="00D0226E"/>
    <w:rsid w:val="00D03D65"/>
    <w:rsid w:val="00D04708"/>
    <w:rsid w:val="00D06AB9"/>
    <w:rsid w:val="00D104B4"/>
    <w:rsid w:val="00D11244"/>
    <w:rsid w:val="00D146BB"/>
    <w:rsid w:val="00D17F69"/>
    <w:rsid w:val="00D20A19"/>
    <w:rsid w:val="00D21C6B"/>
    <w:rsid w:val="00D23EF8"/>
    <w:rsid w:val="00D30EB7"/>
    <w:rsid w:val="00D31247"/>
    <w:rsid w:val="00D32E50"/>
    <w:rsid w:val="00D358FF"/>
    <w:rsid w:val="00D374CD"/>
    <w:rsid w:val="00D40BF9"/>
    <w:rsid w:val="00D40DCB"/>
    <w:rsid w:val="00D42A0A"/>
    <w:rsid w:val="00D4387A"/>
    <w:rsid w:val="00D46586"/>
    <w:rsid w:val="00D53106"/>
    <w:rsid w:val="00D53212"/>
    <w:rsid w:val="00D545FB"/>
    <w:rsid w:val="00D55E2B"/>
    <w:rsid w:val="00D56388"/>
    <w:rsid w:val="00D578A2"/>
    <w:rsid w:val="00D610E6"/>
    <w:rsid w:val="00D6133E"/>
    <w:rsid w:val="00D614D7"/>
    <w:rsid w:val="00D63354"/>
    <w:rsid w:val="00D63976"/>
    <w:rsid w:val="00D6399F"/>
    <w:rsid w:val="00D65871"/>
    <w:rsid w:val="00D670A3"/>
    <w:rsid w:val="00D721EA"/>
    <w:rsid w:val="00D74F07"/>
    <w:rsid w:val="00D77B0B"/>
    <w:rsid w:val="00D81509"/>
    <w:rsid w:val="00D8625D"/>
    <w:rsid w:val="00D973BC"/>
    <w:rsid w:val="00DA2A40"/>
    <w:rsid w:val="00DA32AC"/>
    <w:rsid w:val="00DA58F8"/>
    <w:rsid w:val="00DA7807"/>
    <w:rsid w:val="00DB0820"/>
    <w:rsid w:val="00DB1E05"/>
    <w:rsid w:val="00DB2F72"/>
    <w:rsid w:val="00DB4B2F"/>
    <w:rsid w:val="00DB6D2E"/>
    <w:rsid w:val="00DB719D"/>
    <w:rsid w:val="00DB7613"/>
    <w:rsid w:val="00DC33B9"/>
    <w:rsid w:val="00DC5F37"/>
    <w:rsid w:val="00DD00DC"/>
    <w:rsid w:val="00DD3FA9"/>
    <w:rsid w:val="00DD604A"/>
    <w:rsid w:val="00DE2BE1"/>
    <w:rsid w:val="00DE3412"/>
    <w:rsid w:val="00DE40E0"/>
    <w:rsid w:val="00DE41C6"/>
    <w:rsid w:val="00DE49A7"/>
    <w:rsid w:val="00DE4D69"/>
    <w:rsid w:val="00DE5AB1"/>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BC1"/>
    <w:rsid w:val="00E11C57"/>
    <w:rsid w:val="00E13D08"/>
    <w:rsid w:val="00E14173"/>
    <w:rsid w:val="00E16423"/>
    <w:rsid w:val="00E17835"/>
    <w:rsid w:val="00E21019"/>
    <w:rsid w:val="00E219A6"/>
    <w:rsid w:val="00E225BF"/>
    <w:rsid w:val="00E2470F"/>
    <w:rsid w:val="00E24805"/>
    <w:rsid w:val="00E30211"/>
    <w:rsid w:val="00E30983"/>
    <w:rsid w:val="00E309A0"/>
    <w:rsid w:val="00E31634"/>
    <w:rsid w:val="00E31E63"/>
    <w:rsid w:val="00E326CE"/>
    <w:rsid w:val="00E32711"/>
    <w:rsid w:val="00E33CBD"/>
    <w:rsid w:val="00E33CC6"/>
    <w:rsid w:val="00E340EB"/>
    <w:rsid w:val="00E361EE"/>
    <w:rsid w:val="00E36B7C"/>
    <w:rsid w:val="00E404D4"/>
    <w:rsid w:val="00E40581"/>
    <w:rsid w:val="00E41195"/>
    <w:rsid w:val="00E4202A"/>
    <w:rsid w:val="00E463C8"/>
    <w:rsid w:val="00E47787"/>
    <w:rsid w:val="00E47F9B"/>
    <w:rsid w:val="00E51157"/>
    <w:rsid w:val="00E535EB"/>
    <w:rsid w:val="00E55C85"/>
    <w:rsid w:val="00E56A2B"/>
    <w:rsid w:val="00E56E19"/>
    <w:rsid w:val="00E5710E"/>
    <w:rsid w:val="00E57B75"/>
    <w:rsid w:val="00E602E1"/>
    <w:rsid w:val="00E61062"/>
    <w:rsid w:val="00E620EC"/>
    <w:rsid w:val="00E63BED"/>
    <w:rsid w:val="00E67005"/>
    <w:rsid w:val="00E6776A"/>
    <w:rsid w:val="00E70C16"/>
    <w:rsid w:val="00E72FCA"/>
    <w:rsid w:val="00E73115"/>
    <w:rsid w:val="00E74735"/>
    <w:rsid w:val="00E76096"/>
    <w:rsid w:val="00E76119"/>
    <w:rsid w:val="00E76569"/>
    <w:rsid w:val="00E76A71"/>
    <w:rsid w:val="00E779F0"/>
    <w:rsid w:val="00E77A65"/>
    <w:rsid w:val="00E80154"/>
    <w:rsid w:val="00E80575"/>
    <w:rsid w:val="00E815D3"/>
    <w:rsid w:val="00E85044"/>
    <w:rsid w:val="00E85260"/>
    <w:rsid w:val="00E86137"/>
    <w:rsid w:val="00E87D8F"/>
    <w:rsid w:val="00E87E25"/>
    <w:rsid w:val="00E9122E"/>
    <w:rsid w:val="00E93A24"/>
    <w:rsid w:val="00E940A7"/>
    <w:rsid w:val="00E955E4"/>
    <w:rsid w:val="00E958CC"/>
    <w:rsid w:val="00E96B75"/>
    <w:rsid w:val="00EA002D"/>
    <w:rsid w:val="00EA0149"/>
    <w:rsid w:val="00EA0ADE"/>
    <w:rsid w:val="00EA0E99"/>
    <w:rsid w:val="00EA1DBA"/>
    <w:rsid w:val="00EA30F1"/>
    <w:rsid w:val="00EA35A2"/>
    <w:rsid w:val="00EA6D39"/>
    <w:rsid w:val="00EB0286"/>
    <w:rsid w:val="00EB47C6"/>
    <w:rsid w:val="00EB6407"/>
    <w:rsid w:val="00EB6D3C"/>
    <w:rsid w:val="00EB7236"/>
    <w:rsid w:val="00EC0787"/>
    <w:rsid w:val="00EC1ABF"/>
    <w:rsid w:val="00EC23AB"/>
    <w:rsid w:val="00EC2900"/>
    <w:rsid w:val="00EC3E91"/>
    <w:rsid w:val="00ED1130"/>
    <w:rsid w:val="00ED236D"/>
    <w:rsid w:val="00ED3DE7"/>
    <w:rsid w:val="00ED449E"/>
    <w:rsid w:val="00ED45E4"/>
    <w:rsid w:val="00ED4D6B"/>
    <w:rsid w:val="00ED5E9D"/>
    <w:rsid w:val="00ED6C51"/>
    <w:rsid w:val="00EE2AF3"/>
    <w:rsid w:val="00EE2B7E"/>
    <w:rsid w:val="00EE365F"/>
    <w:rsid w:val="00EE563A"/>
    <w:rsid w:val="00EE5D95"/>
    <w:rsid w:val="00EF0C2F"/>
    <w:rsid w:val="00EF2C6B"/>
    <w:rsid w:val="00EF6075"/>
    <w:rsid w:val="00F013A5"/>
    <w:rsid w:val="00F021D7"/>
    <w:rsid w:val="00F02E20"/>
    <w:rsid w:val="00F02F85"/>
    <w:rsid w:val="00F044D7"/>
    <w:rsid w:val="00F0578F"/>
    <w:rsid w:val="00F05C1B"/>
    <w:rsid w:val="00F104B3"/>
    <w:rsid w:val="00F10C31"/>
    <w:rsid w:val="00F10FD4"/>
    <w:rsid w:val="00F11102"/>
    <w:rsid w:val="00F126D4"/>
    <w:rsid w:val="00F13E1F"/>
    <w:rsid w:val="00F14CAF"/>
    <w:rsid w:val="00F20A65"/>
    <w:rsid w:val="00F21986"/>
    <w:rsid w:val="00F222A4"/>
    <w:rsid w:val="00F2373B"/>
    <w:rsid w:val="00F23E2C"/>
    <w:rsid w:val="00F2438B"/>
    <w:rsid w:val="00F2449A"/>
    <w:rsid w:val="00F2742E"/>
    <w:rsid w:val="00F30953"/>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F93"/>
    <w:rsid w:val="00F641DF"/>
    <w:rsid w:val="00F65179"/>
    <w:rsid w:val="00F679C1"/>
    <w:rsid w:val="00F67F91"/>
    <w:rsid w:val="00F71E19"/>
    <w:rsid w:val="00F72931"/>
    <w:rsid w:val="00F76E9C"/>
    <w:rsid w:val="00F77DC4"/>
    <w:rsid w:val="00F81A17"/>
    <w:rsid w:val="00F82C37"/>
    <w:rsid w:val="00F830B6"/>
    <w:rsid w:val="00F83E0F"/>
    <w:rsid w:val="00F84E90"/>
    <w:rsid w:val="00F85FE1"/>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23"/>
    <w:rsid w:val="00FD0F58"/>
    <w:rsid w:val="00FD2332"/>
    <w:rsid w:val="00FD3DEE"/>
    <w:rsid w:val="00FD5057"/>
    <w:rsid w:val="00FD54EE"/>
    <w:rsid w:val="00FD5D30"/>
    <w:rsid w:val="00FD6320"/>
    <w:rsid w:val="00FD6722"/>
    <w:rsid w:val="00FE2001"/>
    <w:rsid w:val="00FE233A"/>
    <w:rsid w:val="00FE261D"/>
    <w:rsid w:val="00FE2D73"/>
    <w:rsid w:val="00FE2F4E"/>
    <w:rsid w:val="00FE3186"/>
    <w:rsid w:val="00FE4D4C"/>
    <w:rsid w:val="00FE4FDD"/>
    <w:rsid w:val="00FE6DCC"/>
    <w:rsid w:val="00FF02D6"/>
    <w:rsid w:val="00FF0A4B"/>
    <w:rsid w:val="00FF223C"/>
    <w:rsid w:val="00FF3E35"/>
    <w:rsid w:val="00FF43D7"/>
    <w:rsid w:val="00FF48AA"/>
    <w:rsid w:val="00FF5D50"/>
    <w:rsid w:val="026CEA52"/>
    <w:rsid w:val="069D0DC4"/>
    <w:rsid w:val="10762A0A"/>
    <w:rsid w:val="11E2139D"/>
    <w:rsid w:val="1C0528B3"/>
    <w:rsid w:val="289ECAF6"/>
    <w:rsid w:val="29ED3D0C"/>
    <w:rsid w:val="2E6FE6F3"/>
    <w:rsid w:val="2F5ADAC5"/>
    <w:rsid w:val="350E0CD8"/>
    <w:rsid w:val="374CC44D"/>
    <w:rsid w:val="3A9CF5F4"/>
    <w:rsid w:val="3AAB391F"/>
    <w:rsid w:val="3DE5A0DE"/>
    <w:rsid w:val="42585B33"/>
    <w:rsid w:val="44099AF5"/>
    <w:rsid w:val="4484DDB2"/>
    <w:rsid w:val="47004F65"/>
    <w:rsid w:val="4DE89396"/>
    <w:rsid w:val="5A9A2D43"/>
    <w:rsid w:val="5BF6AFE5"/>
    <w:rsid w:val="60B84EB9"/>
    <w:rsid w:val="648A1C11"/>
    <w:rsid w:val="69299F46"/>
    <w:rsid w:val="6C87E452"/>
    <w:rsid w:val="72180295"/>
    <w:rsid w:val="740E00CB"/>
    <w:rsid w:val="79CE5518"/>
    <w:rsid w:val="7D881045"/>
    <w:rsid w:val="7FD1B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52C40"/>
  <w15:chartTrackingRefBased/>
  <w15:docId w15:val="{A7636847-6BE9-4024-A65E-4D16F7D4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8F2"/>
    <w:pPr>
      <w:widowControl w:val="0"/>
      <w:spacing w:before="120" w:after="120"/>
    </w:pPr>
    <w:rPr>
      <w:rFonts w:ascii="Arial" w:eastAsia="Times New Roman" w:hAnsi="Arial"/>
      <w:snapToGrid w:val="0"/>
      <w:sz w:val="24"/>
      <w:lang w:eastAsia="en-US"/>
    </w:rPr>
  </w:style>
  <w:style w:type="paragraph" w:styleId="Heading1">
    <w:name w:val="heading 1"/>
    <w:basedOn w:val="Normal"/>
    <w:next w:val="Normal"/>
    <w:link w:val="Heading1Char"/>
    <w:uiPriority w:val="9"/>
    <w:qFormat/>
    <w:rsid w:val="005008F2"/>
    <w:pPr>
      <w:keepNext/>
      <w:spacing w:before="360" w:after="180"/>
      <w:outlineLvl w:val="0"/>
    </w:pPr>
    <w:rPr>
      <w:rFonts w:eastAsiaTheme="majorEastAsia" w:cstheme="majorBidi"/>
      <w:b/>
      <w:bCs/>
      <w:kern w:val="32"/>
      <w:sz w:val="36"/>
      <w:szCs w:val="32"/>
    </w:rPr>
  </w:style>
  <w:style w:type="paragraph" w:styleId="Heading2">
    <w:name w:val="heading 2"/>
    <w:basedOn w:val="Normal"/>
    <w:next w:val="Normal"/>
    <w:link w:val="Heading2Char"/>
    <w:qFormat/>
    <w:rsid w:val="005008F2"/>
    <w:pPr>
      <w:keepNext/>
      <w:widowControl/>
      <w:spacing w:before="240" w:after="240"/>
      <w:outlineLvl w:val="1"/>
    </w:pPr>
    <w:rPr>
      <w:b/>
      <w:snapToGrid/>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008F2"/>
    <w:rPr>
      <w:rFonts w:ascii="Arial" w:eastAsia="Times New Roman" w:hAnsi="Arial"/>
      <w:b/>
      <w:sz w:val="28"/>
    </w:rPr>
  </w:style>
  <w:style w:type="paragraph" w:styleId="BodyText">
    <w:name w:val="Body Text"/>
    <w:basedOn w:val="Normal"/>
    <w:link w:val="BodyTextChar"/>
    <w:rsid w:val="00826CE7"/>
    <w:pPr>
      <w:widowControl/>
    </w:pPr>
    <w:rPr>
      <w:snapToGrid/>
      <w:sz w:val="22"/>
      <w:lang w:eastAsia="en-GB"/>
    </w:rPr>
  </w:style>
  <w:style w:type="character" w:customStyle="1" w:styleId="BodyTextChar">
    <w:name w:val="Body Text Char"/>
    <w:link w:val="BodyText"/>
    <w:rsid w:val="00826CE7"/>
    <w:rPr>
      <w:rFonts w:ascii="Times New Roman" w:eastAsia="Times New Roman" w:hAnsi="Times New Roman" w:cs="Times New Roman"/>
      <w:szCs w:val="20"/>
      <w:lang w:eastAsia="en-GB"/>
    </w:rPr>
  </w:style>
  <w:style w:type="paragraph" w:styleId="Header">
    <w:name w:val="header"/>
    <w:basedOn w:val="Normal"/>
    <w:link w:val="HeaderChar"/>
    <w:uiPriority w:val="99"/>
    <w:unhideWhenUsed/>
    <w:rsid w:val="00826CE7"/>
    <w:pPr>
      <w:tabs>
        <w:tab w:val="center" w:pos="4513"/>
        <w:tab w:val="right" w:pos="9026"/>
      </w:tabs>
    </w:pPr>
  </w:style>
  <w:style w:type="character" w:customStyle="1" w:styleId="HeaderChar">
    <w:name w:val="Header Char"/>
    <w:link w:val="Header"/>
    <w:uiPriority w:val="99"/>
    <w:rsid w:val="00826CE7"/>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826CE7"/>
    <w:pPr>
      <w:tabs>
        <w:tab w:val="center" w:pos="4513"/>
        <w:tab w:val="right" w:pos="9026"/>
      </w:tabs>
    </w:pPr>
  </w:style>
  <w:style w:type="character" w:customStyle="1" w:styleId="FooterChar">
    <w:name w:val="Footer Char"/>
    <w:link w:val="Footer"/>
    <w:uiPriority w:val="99"/>
    <w:rsid w:val="00826CE7"/>
    <w:rPr>
      <w:rFonts w:ascii="Times New Roman" w:eastAsia="Times New Roman" w:hAnsi="Times New Roman" w:cs="Times New Roman"/>
      <w:snapToGrid w:val="0"/>
      <w:sz w:val="24"/>
      <w:szCs w:val="20"/>
      <w:lang w:val="en-US"/>
    </w:rPr>
  </w:style>
  <w:style w:type="character" w:styleId="Hyperlink">
    <w:name w:val="Hyperlink"/>
    <w:rsid w:val="00826CE7"/>
    <w:rPr>
      <w:color w:val="0000FF"/>
      <w:u w:val="single"/>
    </w:rPr>
  </w:style>
  <w:style w:type="paragraph" w:styleId="BalloonText">
    <w:name w:val="Balloon Text"/>
    <w:basedOn w:val="Normal"/>
    <w:link w:val="BalloonTextChar"/>
    <w:uiPriority w:val="99"/>
    <w:semiHidden/>
    <w:unhideWhenUsed/>
    <w:rsid w:val="005F3B1E"/>
    <w:rPr>
      <w:rFonts w:ascii="Tahoma" w:hAnsi="Tahoma" w:cs="Tahoma"/>
      <w:sz w:val="16"/>
      <w:szCs w:val="16"/>
    </w:rPr>
  </w:style>
  <w:style w:type="character" w:customStyle="1" w:styleId="BalloonTextChar">
    <w:name w:val="Balloon Text Char"/>
    <w:link w:val="BalloonText"/>
    <w:uiPriority w:val="99"/>
    <w:semiHidden/>
    <w:rsid w:val="005F3B1E"/>
    <w:rPr>
      <w:rFonts w:ascii="Tahoma" w:eastAsia="Times New Roman" w:hAnsi="Tahoma" w:cs="Tahoma"/>
      <w:snapToGrid w:val="0"/>
      <w:sz w:val="16"/>
      <w:szCs w:val="16"/>
      <w:lang w:val="en-US"/>
    </w:rPr>
  </w:style>
  <w:style w:type="table" w:styleId="TableGrid">
    <w:name w:val="Table Grid"/>
    <w:basedOn w:val="TableNormal"/>
    <w:uiPriority w:val="59"/>
    <w:rsid w:val="009C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199F"/>
    <w:pPr>
      <w:ind w:left="720"/>
      <w:contextualSpacing/>
    </w:pPr>
  </w:style>
  <w:style w:type="paragraph" w:customStyle="1" w:styleId="Default">
    <w:name w:val="Default"/>
    <w:rsid w:val="005204B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0164C"/>
    <w:rPr>
      <w:rFonts w:ascii="Times New Roman" w:eastAsia="Times New Roman" w:hAnsi="Times New Roman"/>
      <w:snapToGrid w:val="0"/>
      <w:sz w:val="24"/>
      <w:lang w:eastAsia="en-US"/>
    </w:rPr>
  </w:style>
  <w:style w:type="character" w:customStyle="1" w:styleId="Heading1Char">
    <w:name w:val="Heading 1 Char"/>
    <w:basedOn w:val="DefaultParagraphFont"/>
    <w:link w:val="Heading1"/>
    <w:uiPriority w:val="9"/>
    <w:rsid w:val="005008F2"/>
    <w:rPr>
      <w:rFonts w:ascii="Arial" w:eastAsiaTheme="majorEastAsia" w:hAnsi="Arial" w:cstheme="majorBidi"/>
      <w:b/>
      <w:bCs/>
      <w:snapToGrid w:val="0"/>
      <w:kern w:val="32"/>
      <w:sz w:val="36"/>
      <w:szCs w:val="32"/>
      <w:lang w:eastAsia="en-US"/>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Arial" w:eastAsia="Times New Roman" w:hAnsi="Arial"/>
      <w:snapToGrid w:val="0"/>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54FDA66A-57D6-4BA8-ADB8-25DBE6F8B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6FFFD1-6640-4AB5-A9DC-2F9769A1FFC5}">
  <ds:schemaRefs>
    <ds:schemaRef ds:uri="http://schemas.microsoft.com/sharepoint/v3/contenttype/forms"/>
  </ds:schemaRefs>
</ds:datastoreItem>
</file>

<file path=customXml/itemProps3.xml><?xml version="1.0" encoding="utf-8"?>
<ds:datastoreItem xmlns:ds="http://schemas.openxmlformats.org/officeDocument/2006/customXml" ds:itemID="{73168EEA-4E2C-478B-B111-982B224C3CA3}">
  <ds:schemaRefs>
    <ds:schemaRef ds:uri="http://schemas.microsoft.com/office/2006/metadata/longProperties"/>
  </ds:schemaRefs>
</ds:datastoreItem>
</file>

<file path=customXml/itemProps4.xml><?xml version="1.0" encoding="utf-8"?>
<ds:datastoreItem xmlns:ds="http://schemas.openxmlformats.org/officeDocument/2006/customXml" ds:itemID="{0B757209-D219-4674-B33B-C58BBC12AB29}">
  <ds:schemaRefs>
    <ds:schemaRef ds:uri="http://schemas.microsoft.com/office/2006/documentManagement/types"/>
    <ds:schemaRef ds:uri="http://purl.org/dc/terms/"/>
    <ds:schemaRef ds:uri="http://schemas.microsoft.com/office/2006/metadata/properties"/>
    <ds:schemaRef ds:uri="http://purl.org/dc/elements/1.1/"/>
    <ds:schemaRef ds:uri="http://purl.org/dc/dcmitype/"/>
    <ds:schemaRef ds:uri="http://www.w3.org/XML/1998/namespace"/>
    <ds:schemaRef ds:uri="3949bc56-6107-4a37-a900-858857adfede"/>
    <ds:schemaRef ds:uri="http://schemas.microsoft.com/office/infopath/2007/PartnerControls"/>
    <ds:schemaRef ds:uri="http://schemas.openxmlformats.org/package/2006/metadata/core-properties"/>
    <ds:schemaRef ds:uri="cca6b130-34ce-479a-80ad-5918b2c7d9b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750</Words>
  <Characters>4281</Characters>
  <Application>Microsoft Office Word</Application>
  <DocSecurity>0</DocSecurity>
  <Lines>35</Lines>
  <Paragraphs>10</Paragraphs>
  <ScaleCrop>false</ScaleCrop>
  <Company>Kingston University</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Firth, Mike</cp:lastModifiedBy>
  <cp:revision>48</cp:revision>
  <cp:lastPrinted>2019-10-25T14:26:00Z</cp:lastPrinted>
  <dcterms:created xsi:type="dcterms:W3CDTF">2022-03-22T22:05:00Z</dcterms:created>
  <dcterms:modified xsi:type="dcterms:W3CDTF">2025-07-11T09:36:00Z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0x010100AF47C6D639642C4882A310EAFDB93A7F</vt:lpwstr>
  </property>
  <property fmtid="{D5CDD505-2E9C-101B-9397-08002B2CF9AE}" pid="3" name="TaxKeyword">
    <vt:lpwstr/>
  </property>
  <property fmtid="{D5CDD505-2E9C-101B-9397-08002B2CF9AE}" pid="4" name="display_urn:schemas-microsoft-com:office:office#Editor">
    <vt:lpwstr>Williams, Annamaria</vt:lpwstr>
  </property>
  <property fmtid="{D5CDD505-2E9C-101B-9397-08002B2CF9AE}" pid="5" name="Order">
    <vt:lpwstr>1705300.00000000</vt:lpwstr>
  </property>
  <property fmtid="{D5CDD505-2E9C-101B-9397-08002B2CF9AE}" pid="6" name="Document Subject">
    <vt:lpwstr/>
  </property>
  <property fmtid="{D5CDD505-2E9C-101B-9397-08002B2CF9AE}" pid="7" name="display_urn:schemas-microsoft-com:office:office#Author">
    <vt:lpwstr>Williams, Annamaria</vt:lpwstr>
  </property>
  <property fmtid="{D5CDD505-2E9C-101B-9397-08002B2CF9AE}" pid="8" name="Expiry Date">
    <vt:lpwstr/>
  </property>
  <property fmtid="{D5CDD505-2E9C-101B-9397-08002B2CF9AE}" pid="9" name="Document Type">
    <vt:lpwstr/>
  </property>
  <property fmtid="{D5CDD505-2E9C-101B-9397-08002B2CF9AE}" pid="10" name="Document Authors">
    <vt:lpwstr/>
  </property>
  <property fmtid="{D5CDD505-2E9C-101B-9397-08002B2CF9AE}" pid="11" name="MSIP_Label_3b551598-29da-492a-8b9f-8358cd43dd03_Enabled">
    <vt:lpwstr>True</vt:lpwstr>
  </property>
  <property fmtid="{D5CDD505-2E9C-101B-9397-08002B2CF9AE}" pid="12" name="MSIP_Label_3b551598-29da-492a-8b9f-8358cd43dd03_SiteId">
    <vt:lpwstr>c9ef029c-18cf-4016-86d3-93cf8e94ff94</vt:lpwstr>
  </property>
  <property fmtid="{D5CDD505-2E9C-101B-9397-08002B2CF9AE}" pid="13" name="MSIP_Label_3b551598-29da-492a-8b9f-8358cd43dd03_Owner">
    <vt:lpwstr>KU43124@kingston.ac.uk</vt:lpwstr>
  </property>
  <property fmtid="{D5CDD505-2E9C-101B-9397-08002B2CF9AE}" pid="14" name="MSIP_Label_3b551598-29da-492a-8b9f-8358cd43dd03_SetDate">
    <vt:lpwstr>2021-08-11T08:13:38.3148838Z</vt:lpwstr>
  </property>
  <property fmtid="{D5CDD505-2E9C-101B-9397-08002B2CF9AE}" pid="15" name="MSIP_Label_3b551598-29da-492a-8b9f-8358cd43dd03_Name">
    <vt:lpwstr>General</vt:lpwstr>
  </property>
  <property fmtid="{D5CDD505-2E9C-101B-9397-08002B2CF9AE}" pid="16" name="MSIP_Label_3b551598-29da-492a-8b9f-8358cd43dd03_Application">
    <vt:lpwstr>Microsoft Azure Information Protection</vt:lpwstr>
  </property>
  <property fmtid="{D5CDD505-2E9C-101B-9397-08002B2CF9AE}" pid="17" name="MSIP_Label_3b551598-29da-492a-8b9f-8358cd43dd03_ActionId">
    <vt:lpwstr>de025087-9896-456d-a708-3ecf2ee8b8fb</vt:lpwstr>
  </property>
  <property fmtid="{D5CDD505-2E9C-101B-9397-08002B2CF9AE}" pid="18" name="MSIP_Label_3b551598-29da-492a-8b9f-8358cd43dd03_Extended_MSFT_Method">
    <vt:lpwstr>Automatic</vt:lpwstr>
  </property>
  <property fmtid="{D5CDD505-2E9C-101B-9397-08002B2CF9AE}" pid="19" name="Sensitivity">
    <vt:lpwstr>General</vt:lpwstr>
  </property>
</Properties>
</file>