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D55AE" w14:textId="63ADD790" w:rsidR="00AF3E20" w:rsidRPr="003810A3" w:rsidRDefault="00AF3E20" w:rsidP="0078338D">
      <w:pPr>
        <w:pStyle w:val="Heading1"/>
        <w:jc w:val="center"/>
        <w:rPr>
          <w:noProof/>
          <w:sz w:val="36"/>
          <w:szCs w:val="36"/>
        </w:rPr>
      </w:pPr>
      <w:bookmarkStart w:id="0" w:name="_Toc97631661"/>
      <w:bookmarkStart w:id="1" w:name="_Toc103260755"/>
      <w:bookmarkStart w:id="2" w:name="_Toc137219170"/>
      <w:bookmarkStart w:id="3" w:name="_Toc137219235"/>
      <w:bookmarkStart w:id="4" w:name="_Toc169256457"/>
      <w:bookmarkStart w:id="5" w:name="_Toc203123033"/>
      <w:r w:rsidRPr="003810A3">
        <w:rPr>
          <w:noProof/>
          <w:sz w:val="36"/>
          <w:szCs w:val="36"/>
        </w:rPr>
        <w:t xml:space="preserve">Section </w:t>
      </w:r>
      <w:bookmarkEnd w:id="0"/>
      <w:bookmarkEnd w:id="1"/>
      <w:bookmarkEnd w:id="2"/>
      <w:bookmarkEnd w:id="3"/>
      <w:r w:rsidR="00EE0B6F">
        <w:rPr>
          <w:noProof/>
          <w:sz w:val="36"/>
          <w:szCs w:val="36"/>
        </w:rPr>
        <w:t>F</w:t>
      </w:r>
      <w:bookmarkEnd w:id="4"/>
      <w:bookmarkEnd w:id="5"/>
    </w:p>
    <w:p w14:paraId="1DC1CE38" w14:textId="77777777" w:rsidR="00F42EEC" w:rsidRDefault="00AF3E20" w:rsidP="0078338D">
      <w:pPr>
        <w:pStyle w:val="Heading1"/>
        <w:jc w:val="center"/>
        <w:rPr>
          <w:noProof/>
          <w:sz w:val="36"/>
          <w:szCs w:val="36"/>
        </w:rPr>
      </w:pPr>
      <w:bookmarkStart w:id="6" w:name="_Toc97631662"/>
      <w:bookmarkStart w:id="7" w:name="_Toc103260756"/>
      <w:bookmarkStart w:id="8" w:name="_Toc137219171"/>
      <w:bookmarkStart w:id="9" w:name="_Toc137219236"/>
      <w:bookmarkStart w:id="10" w:name="_Toc169256458"/>
      <w:bookmarkStart w:id="11" w:name="_Toc203123034"/>
      <w:r w:rsidRPr="003810A3">
        <w:rPr>
          <w:noProof/>
          <w:sz w:val="36"/>
          <w:szCs w:val="36"/>
        </w:rPr>
        <w:t>Internal Quality Audit</w:t>
      </w:r>
      <w:bookmarkEnd w:id="6"/>
      <w:bookmarkEnd w:id="7"/>
      <w:bookmarkEnd w:id="8"/>
      <w:bookmarkEnd w:id="9"/>
      <w:bookmarkEnd w:id="10"/>
      <w:bookmarkEnd w:id="11"/>
    </w:p>
    <w:p w14:paraId="51EBD420" w14:textId="77777777" w:rsidR="008362D9" w:rsidRPr="008362D9" w:rsidRDefault="008362D9" w:rsidP="008362D9"/>
    <w:p w14:paraId="423DFBCE" w14:textId="77777777" w:rsidR="00D46FD4" w:rsidRPr="00D46FD4" w:rsidRDefault="00D46FD4" w:rsidP="00D46FD4"/>
    <w:sdt>
      <w:sdtPr>
        <w:rPr>
          <w:rFonts w:ascii="Calibri" w:hAnsi="Calibri"/>
          <w:snapToGrid w:val="0"/>
          <w:color w:val="auto"/>
          <w:sz w:val="24"/>
          <w:szCs w:val="20"/>
          <w:lang w:eastAsia="en-US"/>
        </w:rPr>
        <w:id w:val="-1861501014"/>
        <w:docPartObj>
          <w:docPartGallery w:val="Table of Contents"/>
          <w:docPartUnique/>
        </w:docPartObj>
      </w:sdtPr>
      <w:sdtEndPr>
        <w:rPr>
          <w:rFonts w:ascii="Arial" w:hAnsi="Arial"/>
          <w:b/>
          <w:bCs/>
          <w:noProof/>
        </w:rPr>
      </w:sdtEndPr>
      <w:sdtContent>
        <w:p w14:paraId="4B2D04E7" w14:textId="77777777" w:rsidR="00DE2DE5" w:rsidRDefault="00F42EEC" w:rsidP="007E7BA5">
          <w:pPr>
            <w:pStyle w:val="TOCHeading"/>
            <w:jc w:val="center"/>
            <w:rPr>
              <w:noProof/>
            </w:rPr>
          </w:pPr>
          <w:r w:rsidRPr="00F42EEC">
            <w:rPr>
              <w:rStyle w:val="Heading2Char"/>
              <w:color w:val="auto"/>
            </w:rPr>
            <w:t>Contents</w:t>
          </w:r>
          <w:r>
            <w:fldChar w:fldCharType="begin"/>
          </w:r>
          <w:r>
            <w:instrText xml:space="preserve"> TOC \o "1-3" \h \z \u </w:instrText>
          </w:r>
          <w:r>
            <w:fldChar w:fldCharType="separate"/>
          </w:r>
        </w:p>
        <w:p w14:paraId="61CA406E" w14:textId="0ECC65C7" w:rsidR="00DE2DE5" w:rsidRDefault="00DE2DE5">
          <w:pPr>
            <w:pStyle w:val="TOC2"/>
            <w:rPr>
              <w:rFonts w:asciiTheme="minorHAnsi" w:eastAsiaTheme="minorEastAsia" w:hAnsiTheme="minorHAnsi" w:cstheme="minorBidi"/>
              <w:noProof/>
              <w:snapToGrid/>
              <w:sz w:val="22"/>
              <w:szCs w:val="22"/>
              <w:lang w:eastAsia="en-GB"/>
            </w:rPr>
          </w:pPr>
          <w:hyperlink w:anchor="_Toc203123035" w:history="1">
            <w:r w:rsidRPr="00DE025E">
              <w:rPr>
                <w:rStyle w:val="Hyperlink"/>
                <w:noProof/>
              </w:rPr>
              <w:t>Abbreviations in this section</w:t>
            </w:r>
            <w:r>
              <w:rPr>
                <w:noProof/>
                <w:webHidden/>
              </w:rPr>
              <w:tab/>
            </w:r>
            <w:r>
              <w:rPr>
                <w:noProof/>
                <w:webHidden/>
              </w:rPr>
              <w:fldChar w:fldCharType="begin"/>
            </w:r>
            <w:r>
              <w:rPr>
                <w:noProof/>
                <w:webHidden/>
              </w:rPr>
              <w:instrText xml:space="preserve"> PAGEREF _Toc203123035 \h </w:instrText>
            </w:r>
            <w:r>
              <w:rPr>
                <w:noProof/>
                <w:webHidden/>
              </w:rPr>
            </w:r>
            <w:r>
              <w:rPr>
                <w:noProof/>
                <w:webHidden/>
              </w:rPr>
              <w:fldChar w:fldCharType="separate"/>
            </w:r>
            <w:r>
              <w:rPr>
                <w:noProof/>
                <w:webHidden/>
              </w:rPr>
              <w:t>1</w:t>
            </w:r>
            <w:r>
              <w:rPr>
                <w:noProof/>
                <w:webHidden/>
              </w:rPr>
              <w:fldChar w:fldCharType="end"/>
            </w:r>
          </w:hyperlink>
        </w:p>
        <w:p w14:paraId="2716A4CA" w14:textId="1F5915DC" w:rsidR="00DE2DE5" w:rsidRDefault="00DE2DE5">
          <w:pPr>
            <w:pStyle w:val="TOC2"/>
            <w:rPr>
              <w:rFonts w:asciiTheme="minorHAnsi" w:eastAsiaTheme="minorEastAsia" w:hAnsiTheme="minorHAnsi" w:cstheme="minorBidi"/>
              <w:noProof/>
              <w:snapToGrid/>
              <w:sz w:val="22"/>
              <w:szCs w:val="22"/>
              <w:lang w:eastAsia="en-GB"/>
            </w:rPr>
          </w:pPr>
          <w:hyperlink w:anchor="_Toc203123036" w:history="1">
            <w:r w:rsidRPr="00DE025E">
              <w:rPr>
                <w:rStyle w:val="Hyperlink"/>
                <w:noProof/>
              </w:rPr>
              <w:t>Definition</w:t>
            </w:r>
            <w:r>
              <w:rPr>
                <w:noProof/>
                <w:webHidden/>
              </w:rPr>
              <w:tab/>
            </w:r>
            <w:r>
              <w:rPr>
                <w:noProof/>
                <w:webHidden/>
              </w:rPr>
              <w:fldChar w:fldCharType="begin"/>
            </w:r>
            <w:r>
              <w:rPr>
                <w:noProof/>
                <w:webHidden/>
              </w:rPr>
              <w:instrText xml:space="preserve"> PAGEREF _Toc203123036 \h </w:instrText>
            </w:r>
            <w:r>
              <w:rPr>
                <w:noProof/>
                <w:webHidden/>
              </w:rPr>
            </w:r>
            <w:r>
              <w:rPr>
                <w:noProof/>
                <w:webHidden/>
              </w:rPr>
              <w:fldChar w:fldCharType="separate"/>
            </w:r>
            <w:r>
              <w:rPr>
                <w:noProof/>
                <w:webHidden/>
              </w:rPr>
              <w:t>2</w:t>
            </w:r>
            <w:r>
              <w:rPr>
                <w:noProof/>
                <w:webHidden/>
              </w:rPr>
              <w:fldChar w:fldCharType="end"/>
            </w:r>
          </w:hyperlink>
        </w:p>
        <w:p w14:paraId="2ABC9148" w14:textId="13F5BE7C" w:rsidR="00DE2DE5" w:rsidRDefault="00DE2DE5">
          <w:pPr>
            <w:pStyle w:val="TOC2"/>
            <w:rPr>
              <w:rFonts w:asciiTheme="minorHAnsi" w:eastAsiaTheme="minorEastAsia" w:hAnsiTheme="minorHAnsi" w:cstheme="minorBidi"/>
              <w:noProof/>
              <w:snapToGrid/>
              <w:sz w:val="22"/>
              <w:szCs w:val="22"/>
              <w:lang w:eastAsia="en-GB"/>
            </w:rPr>
          </w:pPr>
          <w:hyperlink w:anchor="_Toc203123037" w:history="1">
            <w:r w:rsidRPr="00DE025E">
              <w:rPr>
                <w:rStyle w:val="Hyperlink"/>
                <w:noProof/>
              </w:rPr>
              <w:t>Purpose</w:t>
            </w:r>
            <w:r>
              <w:rPr>
                <w:noProof/>
                <w:webHidden/>
              </w:rPr>
              <w:tab/>
            </w:r>
            <w:r>
              <w:rPr>
                <w:noProof/>
                <w:webHidden/>
              </w:rPr>
              <w:fldChar w:fldCharType="begin"/>
            </w:r>
            <w:r>
              <w:rPr>
                <w:noProof/>
                <w:webHidden/>
              </w:rPr>
              <w:instrText xml:space="preserve"> PAGEREF _Toc203123037 \h </w:instrText>
            </w:r>
            <w:r>
              <w:rPr>
                <w:noProof/>
                <w:webHidden/>
              </w:rPr>
            </w:r>
            <w:r>
              <w:rPr>
                <w:noProof/>
                <w:webHidden/>
              </w:rPr>
              <w:fldChar w:fldCharType="separate"/>
            </w:r>
            <w:r>
              <w:rPr>
                <w:noProof/>
                <w:webHidden/>
              </w:rPr>
              <w:t>2</w:t>
            </w:r>
            <w:r>
              <w:rPr>
                <w:noProof/>
                <w:webHidden/>
              </w:rPr>
              <w:fldChar w:fldCharType="end"/>
            </w:r>
          </w:hyperlink>
        </w:p>
        <w:p w14:paraId="1F1E3DF7" w14:textId="1B1BC2A0" w:rsidR="00DE2DE5" w:rsidRDefault="00DE2DE5">
          <w:pPr>
            <w:pStyle w:val="TOC2"/>
            <w:rPr>
              <w:rFonts w:asciiTheme="minorHAnsi" w:eastAsiaTheme="minorEastAsia" w:hAnsiTheme="minorHAnsi" w:cstheme="minorBidi"/>
              <w:noProof/>
              <w:snapToGrid/>
              <w:sz w:val="22"/>
              <w:szCs w:val="22"/>
              <w:lang w:eastAsia="en-GB"/>
            </w:rPr>
          </w:pPr>
          <w:hyperlink w:anchor="_Toc203123038" w:history="1">
            <w:r w:rsidRPr="00DE025E">
              <w:rPr>
                <w:rStyle w:val="Hyperlink"/>
                <w:noProof/>
              </w:rPr>
              <w:t>Process</w:t>
            </w:r>
            <w:r>
              <w:rPr>
                <w:noProof/>
                <w:webHidden/>
              </w:rPr>
              <w:tab/>
            </w:r>
            <w:r>
              <w:rPr>
                <w:noProof/>
                <w:webHidden/>
              </w:rPr>
              <w:fldChar w:fldCharType="begin"/>
            </w:r>
            <w:r>
              <w:rPr>
                <w:noProof/>
                <w:webHidden/>
              </w:rPr>
              <w:instrText xml:space="preserve"> PAGEREF _Toc203123038 \h </w:instrText>
            </w:r>
            <w:r>
              <w:rPr>
                <w:noProof/>
                <w:webHidden/>
              </w:rPr>
            </w:r>
            <w:r>
              <w:rPr>
                <w:noProof/>
                <w:webHidden/>
              </w:rPr>
              <w:fldChar w:fldCharType="separate"/>
            </w:r>
            <w:r>
              <w:rPr>
                <w:noProof/>
                <w:webHidden/>
              </w:rPr>
              <w:t>2</w:t>
            </w:r>
            <w:r>
              <w:rPr>
                <w:noProof/>
                <w:webHidden/>
              </w:rPr>
              <w:fldChar w:fldCharType="end"/>
            </w:r>
          </w:hyperlink>
        </w:p>
        <w:p w14:paraId="663BF928" w14:textId="5C68FE4C" w:rsidR="00DE2DE5" w:rsidRDefault="00DE2DE5">
          <w:pPr>
            <w:pStyle w:val="TOC3"/>
            <w:tabs>
              <w:tab w:val="right" w:leader="dot" w:pos="9182"/>
            </w:tabs>
            <w:rPr>
              <w:rFonts w:asciiTheme="minorHAnsi" w:eastAsiaTheme="minorEastAsia" w:hAnsiTheme="minorHAnsi" w:cstheme="minorBidi"/>
              <w:noProof/>
              <w:snapToGrid/>
              <w:sz w:val="22"/>
              <w:szCs w:val="22"/>
              <w:lang w:eastAsia="en-GB"/>
            </w:rPr>
          </w:pPr>
          <w:hyperlink w:anchor="_Toc203123039" w:history="1">
            <w:r w:rsidRPr="00DE025E">
              <w:rPr>
                <w:rStyle w:val="Hyperlink"/>
                <w:noProof/>
              </w:rPr>
              <w:t>Documentary Evidence</w:t>
            </w:r>
            <w:r>
              <w:rPr>
                <w:noProof/>
                <w:webHidden/>
              </w:rPr>
              <w:tab/>
            </w:r>
            <w:r>
              <w:rPr>
                <w:noProof/>
                <w:webHidden/>
              </w:rPr>
              <w:fldChar w:fldCharType="begin"/>
            </w:r>
            <w:r>
              <w:rPr>
                <w:noProof/>
                <w:webHidden/>
              </w:rPr>
              <w:instrText xml:space="preserve"> PAGEREF _Toc203123039 \h </w:instrText>
            </w:r>
            <w:r>
              <w:rPr>
                <w:noProof/>
                <w:webHidden/>
              </w:rPr>
            </w:r>
            <w:r>
              <w:rPr>
                <w:noProof/>
                <w:webHidden/>
              </w:rPr>
              <w:fldChar w:fldCharType="separate"/>
            </w:r>
            <w:r>
              <w:rPr>
                <w:noProof/>
                <w:webHidden/>
              </w:rPr>
              <w:t>3</w:t>
            </w:r>
            <w:r>
              <w:rPr>
                <w:noProof/>
                <w:webHidden/>
              </w:rPr>
              <w:fldChar w:fldCharType="end"/>
            </w:r>
          </w:hyperlink>
        </w:p>
        <w:p w14:paraId="25D257DD" w14:textId="4B90AB82" w:rsidR="00DE2DE5" w:rsidRDefault="00DE2DE5">
          <w:pPr>
            <w:pStyle w:val="TOC3"/>
            <w:tabs>
              <w:tab w:val="right" w:leader="dot" w:pos="9182"/>
            </w:tabs>
            <w:rPr>
              <w:rFonts w:asciiTheme="minorHAnsi" w:eastAsiaTheme="minorEastAsia" w:hAnsiTheme="minorHAnsi" w:cstheme="minorBidi"/>
              <w:noProof/>
              <w:snapToGrid/>
              <w:sz w:val="22"/>
              <w:szCs w:val="22"/>
              <w:lang w:eastAsia="en-GB"/>
            </w:rPr>
          </w:pPr>
          <w:hyperlink w:anchor="_Toc203123040" w:history="1">
            <w:r w:rsidRPr="00DE025E">
              <w:rPr>
                <w:rStyle w:val="Hyperlink"/>
                <w:noProof/>
              </w:rPr>
              <w:t>Main IQA event</w:t>
            </w:r>
            <w:r>
              <w:rPr>
                <w:noProof/>
                <w:webHidden/>
              </w:rPr>
              <w:tab/>
            </w:r>
            <w:r>
              <w:rPr>
                <w:noProof/>
                <w:webHidden/>
              </w:rPr>
              <w:fldChar w:fldCharType="begin"/>
            </w:r>
            <w:r>
              <w:rPr>
                <w:noProof/>
                <w:webHidden/>
              </w:rPr>
              <w:instrText xml:space="preserve"> PAGEREF _Toc203123040 \h </w:instrText>
            </w:r>
            <w:r>
              <w:rPr>
                <w:noProof/>
                <w:webHidden/>
              </w:rPr>
            </w:r>
            <w:r>
              <w:rPr>
                <w:noProof/>
                <w:webHidden/>
              </w:rPr>
              <w:fldChar w:fldCharType="separate"/>
            </w:r>
            <w:r>
              <w:rPr>
                <w:noProof/>
                <w:webHidden/>
              </w:rPr>
              <w:t>4</w:t>
            </w:r>
            <w:r>
              <w:rPr>
                <w:noProof/>
                <w:webHidden/>
              </w:rPr>
              <w:fldChar w:fldCharType="end"/>
            </w:r>
          </w:hyperlink>
        </w:p>
        <w:p w14:paraId="11817515" w14:textId="1A8CF1E6" w:rsidR="00DE2DE5" w:rsidRDefault="00DE2DE5">
          <w:pPr>
            <w:pStyle w:val="TOC3"/>
            <w:tabs>
              <w:tab w:val="right" w:leader="dot" w:pos="9182"/>
            </w:tabs>
            <w:rPr>
              <w:rFonts w:asciiTheme="minorHAnsi" w:eastAsiaTheme="minorEastAsia" w:hAnsiTheme="minorHAnsi" w:cstheme="minorBidi"/>
              <w:noProof/>
              <w:snapToGrid/>
              <w:sz w:val="22"/>
              <w:szCs w:val="22"/>
              <w:lang w:eastAsia="en-GB"/>
            </w:rPr>
          </w:pPr>
          <w:hyperlink w:anchor="_Toc203123041" w:history="1">
            <w:r w:rsidRPr="00DE025E">
              <w:rPr>
                <w:rStyle w:val="Hyperlink"/>
                <w:noProof/>
              </w:rPr>
              <w:t>Internal Quality Audit Reports</w:t>
            </w:r>
            <w:r>
              <w:rPr>
                <w:noProof/>
                <w:webHidden/>
              </w:rPr>
              <w:tab/>
            </w:r>
            <w:r>
              <w:rPr>
                <w:noProof/>
                <w:webHidden/>
              </w:rPr>
              <w:fldChar w:fldCharType="begin"/>
            </w:r>
            <w:r>
              <w:rPr>
                <w:noProof/>
                <w:webHidden/>
              </w:rPr>
              <w:instrText xml:space="preserve"> PAGEREF _Toc203123041 \h </w:instrText>
            </w:r>
            <w:r>
              <w:rPr>
                <w:noProof/>
                <w:webHidden/>
              </w:rPr>
            </w:r>
            <w:r>
              <w:rPr>
                <w:noProof/>
                <w:webHidden/>
              </w:rPr>
              <w:fldChar w:fldCharType="separate"/>
            </w:r>
            <w:r>
              <w:rPr>
                <w:noProof/>
                <w:webHidden/>
              </w:rPr>
              <w:t>4</w:t>
            </w:r>
            <w:r>
              <w:rPr>
                <w:noProof/>
                <w:webHidden/>
              </w:rPr>
              <w:fldChar w:fldCharType="end"/>
            </w:r>
          </w:hyperlink>
        </w:p>
        <w:p w14:paraId="41DCD3A0" w14:textId="3E72A7A6" w:rsidR="00316FB1" w:rsidRDefault="00F42EEC" w:rsidP="00F42EEC">
          <w:pPr>
            <w:rPr>
              <w:b/>
              <w:bCs/>
              <w:noProof/>
            </w:rPr>
          </w:pPr>
          <w:r>
            <w:rPr>
              <w:b/>
              <w:bCs/>
              <w:noProof/>
            </w:rPr>
            <w:fldChar w:fldCharType="end"/>
          </w:r>
        </w:p>
      </w:sdtContent>
    </w:sdt>
    <w:p w14:paraId="641153F2" w14:textId="77777777" w:rsidR="001A1FBB" w:rsidRDefault="001A1FBB" w:rsidP="00316FB1">
      <w:pPr>
        <w:pStyle w:val="Heading2"/>
        <w:rPr>
          <w:noProof/>
        </w:rPr>
      </w:pPr>
    </w:p>
    <w:p w14:paraId="11D3F366" w14:textId="77777777" w:rsidR="001A1FBB" w:rsidRDefault="001A1FBB" w:rsidP="00316FB1">
      <w:pPr>
        <w:pStyle w:val="Heading2"/>
        <w:rPr>
          <w:noProof/>
        </w:rPr>
      </w:pPr>
    </w:p>
    <w:p w14:paraId="4D56D8DE" w14:textId="07CE565D" w:rsidR="00605CFE" w:rsidRDefault="00AF3E20" w:rsidP="00316FB1">
      <w:pPr>
        <w:pStyle w:val="Heading2"/>
        <w:rPr>
          <w:noProof/>
        </w:rPr>
      </w:pPr>
      <w:r w:rsidRPr="00A80B56">
        <w:rPr>
          <w:noProof/>
        </w:rPr>
        <w:fldChar w:fldCharType="begin"/>
      </w:r>
      <w:r w:rsidRPr="00A80B56">
        <w:rPr>
          <w:noProof/>
        </w:rPr>
        <w:instrText xml:space="preserve"> XE "Internal Quality Audit:IQA" </w:instrText>
      </w:r>
      <w:r w:rsidRPr="00A80B56">
        <w:rPr>
          <w:noProof/>
        </w:rPr>
        <w:fldChar w:fldCharType="end"/>
      </w:r>
      <w:bookmarkStart w:id="12" w:name="_Toc97553086"/>
      <w:bookmarkStart w:id="13" w:name="_Toc203123035"/>
      <w:r w:rsidR="00605CFE" w:rsidRPr="00A80B56">
        <w:rPr>
          <w:noProof/>
        </w:rPr>
        <w:t>Abbreviations in this section</w:t>
      </w:r>
      <w:bookmarkEnd w:id="12"/>
      <w:bookmarkEnd w:id="13"/>
    </w:p>
    <w:p w14:paraId="4ED5EBFC" w14:textId="77777777" w:rsidR="007C2FFB" w:rsidRPr="007C2FFB" w:rsidRDefault="007C2FFB" w:rsidP="007C2FFB"/>
    <w:tbl>
      <w:tblPr>
        <w:tblStyle w:val="TableGrid"/>
        <w:tblW w:w="0" w:type="auto"/>
        <w:tblLook w:val="04A0" w:firstRow="1" w:lastRow="0" w:firstColumn="1" w:lastColumn="0" w:noHBand="0" w:noVBand="1"/>
      </w:tblPr>
      <w:tblGrid>
        <w:gridCol w:w="1799"/>
        <w:gridCol w:w="7383"/>
      </w:tblGrid>
      <w:tr w:rsidR="00605CFE" w:rsidRPr="00A80B56" w14:paraId="46F1C04B" w14:textId="77777777" w:rsidTr="002C6B66">
        <w:tc>
          <w:tcPr>
            <w:tcW w:w="1799" w:type="dxa"/>
          </w:tcPr>
          <w:p w14:paraId="17CAA6C0" w14:textId="77777777" w:rsidR="00605CFE" w:rsidRPr="00AF3E20" w:rsidRDefault="00605CFE" w:rsidP="00AF3E20">
            <w:pPr>
              <w:rPr>
                <w:noProof/>
              </w:rPr>
            </w:pPr>
            <w:r w:rsidRPr="00AF3E20">
              <w:rPr>
                <w:noProof/>
              </w:rPr>
              <w:t>EC</w:t>
            </w:r>
          </w:p>
        </w:tc>
        <w:tc>
          <w:tcPr>
            <w:tcW w:w="7383" w:type="dxa"/>
          </w:tcPr>
          <w:p w14:paraId="546BCF04" w14:textId="77777777" w:rsidR="00605CFE" w:rsidRPr="00AF3E20" w:rsidRDefault="00605CFE" w:rsidP="00AF3E20">
            <w:pPr>
              <w:rPr>
                <w:noProof/>
              </w:rPr>
            </w:pPr>
            <w:r w:rsidRPr="00AF3E20">
              <w:rPr>
                <w:noProof/>
              </w:rPr>
              <w:t>Education Committee</w:t>
            </w:r>
          </w:p>
        </w:tc>
      </w:tr>
      <w:tr w:rsidR="00605CFE" w:rsidRPr="00A80B56" w14:paraId="0F11C96E" w14:textId="77777777" w:rsidTr="002C6B66">
        <w:tc>
          <w:tcPr>
            <w:tcW w:w="1799" w:type="dxa"/>
          </w:tcPr>
          <w:p w14:paraId="436AD00B" w14:textId="77777777" w:rsidR="00605CFE" w:rsidRPr="00AF3E20" w:rsidRDefault="00605CFE" w:rsidP="00AF3E20">
            <w:pPr>
              <w:rPr>
                <w:noProof/>
              </w:rPr>
            </w:pPr>
            <w:r w:rsidRPr="00AF3E20">
              <w:rPr>
                <w:noProof/>
              </w:rPr>
              <w:t>IQA</w:t>
            </w:r>
          </w:p>
        </w:tc>
        <w:tc>
          <w:tcPr>
            <w:tcW w:w="7383" w:type="dxa"/>
          </w:tcPr>
          <w:p w14:paraId="73BC04D1" w14:textId="77777777" w:rsidR="00605CFE" w:rsidRPr="00AF3E20" w:rsidRDefault="00605CFE" w:rsidP="00AF3E20">
            <w:pPr>
              <w:rPr>
                <w:noProof/>
              </w:rPr>
            </w:pPr>
            <w:r w:rsidRPr="00AF3E20">
              <w:rPr>
                <w:noProof/>
              </w:rPr>
              <w:t>Internal Quality Audit</w:t>
            </w:r>
            <w:r w:rsidRPr="00AF3E20">
              <w:rPr>
                <w:noProof/>
              </w:rPr>
              <w:fldChar w:fldCharType="begin"/>
            </w:r>
            <w:r w:rsidRPr="00AF3E20">
              <w:instrText xml:space="preserve"> XE "</w:instrText>
            </w:r>
            <w:r w:rsidRPr="00AF3E20">
              <w:rPr>
                <w:noProof/>
              </w:rPr>
              <w:instrText>Internal Quality Audit:</w:instrText>
            </w:r>
            <w:r w:rsidRPr="00AF3E20">
              <w:instrText xml:space="preserve">IQA" </w:instrText>
            </w:r>
            <w:r w:rsidRPr="00AF3E20">
              <w:rPr>
                <w:noProof/>
              </w:rPr>
              <w:fldChar w:fldCharType="end"/>
            </w:r>
          </w:p>
        </w:tc>
      </w:tr>
      <w:tr w:rsidR="00AD06BF" w:rsidRPr="00A80B56" w14:paraId="44DABFE2" w14:textId="77777777" w:rsidTr="002C6B66">
        <w:tc>
          <w:tcPr>
            <w:tcW w:w="1799" w:type="dxa"/>
          </w:tcPr>
          <w:p w14:paraId="32C37020" w14:textId="08F1AC73" w:rsidR="00AD06BF" w:rsidRPr="00AF3E20" w:rsidRDefault="00AD06BF" w:rsidP="00AF3E20">
            <w:pPr>
              <w:rPr>
                <w:noProof/>
              </w:rPr>
            </w:pPr>
            <w:r>
              <w:rPr>
                <w:noProof/>
              </w:rPr>
              <w:t>LTEC</w:t>
            </w:r>
          </w:p>
        </w:tc>
        <w:tc>
          <w:tcPr>
            <w:tcW w:w="7383" w:type="dxa"/>
          </w:tcPr>
          <w:p w14:paraId="0EB15A1D" w14:textId="457C7134" w:rsidR="00AD06BF" w:rsidRPr="00AF3E20" w:rsidRDefault="00F11EB0" w:rsidP="00AF3E20">
            <w:pPr>
              <w:rPr>
                <w:noProof/>
              </w:rPr>
            </w:pPr>
            <w:r>
              <w:rPr>
                <w:noProof/>
              </w:rPr>
              <w:t>Learning and Teaching Enhancement Centre</w:t>
            </w:r>
          </w:p>
        </w:tc>
      </w:tr>
      <w:tr w:rsidR="00605CFE" w:rsidRPr="00A80B56" w14:paraId="40A67B2C" w14:textId="77777777" w:rsidTr="002C6B66">
        <w:tc>
          <w:tcPr>
            <w:tcW w:w="1799" w:type="dxa"/>
          </w:tcPr>
          <w:p w14:paraId="281FAB14" w14:textId="77777777" w:rsidR="00605CFE" w:rsidRPr="00AF3E20" w:rsidRDefault="00605CFE" w:rsidP="00AF3E20">
            <w:pPr>
              <w:rPr>
                <w:noProof/>
              </w:rPr>
            </w:pPr>
            <w:r w:rsidRPr="00AF3E20">
              <w:rPr>
                <w:noProof/>
              </w:rPr>
              <w:t>QAE</w:t>
            </w:r>
          </w:p>
        </w:tc>
        <w:tc>
          <w:tcPr>
            <w:tcW w:w="7383" w:type="dxa"/>
          </w:tcPr>
          <w:p w14:paraId="61F2F4CE" w14:textId="77777777" w:rsidR="00605CFE" w:rsidRPr="00AF3E20" w:rsidRDefault="00605CFE" w:rsidP="00AF3E20">
            <w:pPr>
              <w:rPr>
                <w:noProof/>
              </w:rPr>
            </w:pPr>
            <w:r w:rsidRPr="00AF3E20">
              <w:rPr>
                <w:noProof/>
              </w:rPr>
              <w:t>Quality Assurance and Enhancement</w:t>
            </w:r>
          </w:p>
        </w:tc>
      </w:tr>
    </w:tbl>
    <w:p w14:paraId="2CC7CB08" w14:textId="77777777" w:rsidR="007C2FFB" w:rsidRDefault="007C2FFB" w:rsidP="00AF3E20">
      <w:pPr>
        <w:pStyle w:val="Heading2"/>
        <w:rPr>
          <w:noProof/>
        </w:rPr>
      </w:pPr>
      <w:bookmarkStart w:id="14" w:name="_Toc97553087"/>
    </w:p>
    <w:p w14:paraId="6028AF3A" w14:textId="77777777" w:rsidR="00D46FD4" w:rsidRDefault="00D46FD4">
      <w:pPr>
        <w:widowControl/>
        <w:rPr>
          <w:b/>
          <w:bCs/>
          <w:iCs/>
          <w:noProof/>
          <w:sz w:val="28"/>
          <w:szCs w:val="28"/>
        </w:rPr>
      </w:pPr>
      <w:r>
        <w:rPr>
          <w:noProof/>
        </w:rPr>
        <w:br w:type="page"/>
      </w:r>
    </w:p>
    <w:p w14:paraId="0545FA1F" w14:textId="604F6027" w:rsidR="00660255" w:rsidRPr="00AF3E20" w:rsidRDefault="00660255" w:rsidP="00AF3E20">
      <w:pPr>
        <w:pStyle w:val="Heading2"/>
        <w:rPr>
          <w:noProof/>
        </w:rPr>
      </w:pPr>
      <w:bookmarkStart w:id="15" w:name="_Toc203123036"/>
      <w:r w:rsidRPr="00A80B56">
        <w:rPr>
          <w:noProof/>
        </w:rPr>
        <w:lastRenderedPageBreak/>
        <w:t>Definition</w:t>
      </w:r>
      <w:bookmarkEnd w:id="14"/>
      <w:bookmarkEnd w:id="15"/>
    </w:p>
    <w:p w14:paraId="23876D9B" w14:textId="77777777" w:rsidR="007C2FFB" w:rsidRPr="007C2FFB" w:rsidRDefault="007C2FFB" w:rsidP="007C2FFB">
      <w:pPr>
        <w:pStyle w:val="ListParagraph"/>
        <w:rPr>
          <w:b/>
          <w:caps/>
          <w:noProof/>
        </w:rPr>
      </w:pPr>
    </w:p>
    <w:p w14:paraId="68992C16" w14:textId="1422CD04" w:rsidR="00660255" w:rsidRPr="00D46FD4" w:rsidRDefault="00D72A83" w:rsidP="008116C0">
      <w:pPr>
        <w:pStyle w:val="ListParagraph"/>
        <w:numPr>
          <w:ilvl w:val="0"/>
          <w:numId w:val="14"/>
        </w:numPr>
        <w:ind w:left="851" w:hanging="491"/>
        <w:rPr>
          <w:noProof/>
          <w:sz w:val="24"/>
          <w:szCs w:val="24"/>
        </w:rPr>
      </w:pPr>
      <w:r w:rsidRPr="00D46FD4">
        <w:rPr>
          <w:noProof/>
          <w:sz w:val="24"/>
          <w:szCs w:val="24"/>
        </w:rPr>
        <w:t>I</w:t>
      </w:r>
      <w:r w:rsidR="00DB2700" w:rsidRPr="00D46FD4">
        <w:rPr>
          <w:noProof/>
          <w:sz w:val="24"/>
          <w:szCs w:val="24"/>
        </w:rPr>
        <w:t xml:space="preserve">nternal Quality </w:t>
      </w:r>
      <w:r w:rsidR="001904B5" w:rsidRPr="00D46FD4">
        <w:rPr>
          <w:noProof/>
          <w:sz w:val="24"/>
          <w:szCs w:val="24"/>
        </w:rPr>
        <w:t>Audit</w:t>
      </w:r>
      <w:r w:rsidR="00DB2700" w:rsidRPr="00D46FD4">
        <w:rPr>
          <w:noProof/>
          <w:sz w:val="24"/>
          <w:szCs w:val="24"/>
        </w:rPr>
        <w:t xml:space="preserve"> (IQA)</w:t>
      </w:r>
      <w:r w:rsidR="00660255" w:rsidRPr="00D46FD4">
        <w:rPr>
          <w:noProof/>
          <w:sz w:val="24"/>
          <w:szCs w:val="24"/>
        </w:rPr>
        <w:t xml:space="preserve"> is a University process which is designed to investigate specific quality-related issues or procedures with a view to finding solutions and providing support for quality assurance procedures where necessary.  It provides an important way, in a devolved quality assurance system, of assuring </w:t>
      </w:r>
      <w:r w:rsidR="00647023" w:rsidRPr="00D46FD4">
        <w:rPr>
          <w:noProof/>
          <w:sz w:val="24"/>
          <w:szCs w:val="24"/>
        </w:rPr>
        <w:t>Academic Council</w:t>
      </w:r>
      <w:r w:rsidRPr="00D46FD4">
        <w:rPr>
          <w:noProof/>
          <w:sz w:val="24"/>
          <w:szCs w:val="24"/>
        </w:rPr>
        <w:t xml:space="preserve"> </w:t>
      </w:r>
      <w:r w:rsidR="00660255" w:rsidRPr="00D46FD4">
        <w:rPr>
          <w:noProof/>
          <w:sz w:val="24"/>
          <w:szCs w:val="24"/>
        </w:rPr>
        <w:t xml:space="preserve">that significant problems are not only identified by quality assurance procedures, but can be rectified.  </w:t>
      </w:r>
    </w:p>
    <w:p w14:paraId="0011203F" w14:textId="77777777" w:rsidR="007C2FFB" w:rsidRDefault="007C2FFB" w:rsidP="00AF3E20">
      <w:pPr>
        <w:pStyle w:val="Heading2"/>
        <w:rPr>
          <w:noProof/>
        </w:rPr>
      </w:pPr>
      <w:bookmarkStart w:id="16" w:name="_Toc97553088"/>
    </w:p>
    <w:p w14:paraId="573D2401" w14:textId="1D8485E3" w:rsidR="00660255" w:rsidRPr="00AF3E20" w:rsidRDefault="00660255" w:rsidP="00AF3E20">
      <w:pPr>
        <w:pStyle w:val="Heading2"/>
        <w:rPr>
          <w:noProof/>
        </w:rPr>
      </w:pPr>
      <w:bookmarkStart w:id="17" w:name="_Toc203123037"/>
      <w:r w:rsidRPr="00A80B56">
        <w:rPr>
          <w:noProof/>
        </w:rPr>
        <w:t>Purpose</w:t>
      </w:r>
      <w:bookmarkEnd w:id="16"/>
      <w:bookmarkEnd w:id="17"/>
    </w:p>
    <w:p w14:paraId="4F282318" w14:textId="77777777" w:rsidR="007C2FFB" w:rsidRDefault="007C2FFB" w:rsidP="007C2FFB">
      <w:pPr>
        <w:pStyle w:val="ListParagraph"/>
        <w:rPr>
          <w:noProof/>
        </w:rPr>
      </w:pPr>
    </w:p>
    <w:p w14:paraId="01C6DB03" w14:textId="4F343959" w:rsidR="0040769E" w:rsidRDefault="000E00A5" w:rsidP="008116C0">
      <w:pPr>
        <w:pStyle w:val="ListParagraph"/>
        <w:numPr>
          <w:ilvl w:val="0"/>
          <w:numId w:val="14"/>
        </w:numPr>
        <w:ind w:left="851" w:hanging="491"/>
        <w:rPr>
          <w:noProof/>
          <w:sz w:val="24"/>
          <w:szCs w:val="24"/>
        </w:rPr>
      </w:pPr>
      <w:r w:rsidRPr="00D46FD4">
        <w:rPr>
          <w:noProof/>
          <w:sz w:val="24"/>
          <w:szCs w:val="24"/>
        </w:rPr>
        <w:t>I</w:t>
      </w:r>
      <w:r w:rsidR="00660255" w:rsidRPr="00D46FD4">
        <w:rPr>
          <w:noProof/>
          <w:sz w:val="24"/>
          <w:szCs w:val="24"/>
        </w:rPr>
        <w:t>QA</w:t>
      </w:r>
      <w:r w:rsidR="0040769E">
        <w:rPr>
          <w:noProof/>
          <w:sz w:val="24"/>
          <w:szCs w:val="24"/>
        </w:rPr>
        <w:t xml:space="preserve"> may</w:t>
      </w:r>
      <w:r w:rsidR="00660255" w:rsidRPr="00D46FD4">
        <w:rPr>
          <w:noProof/>
          <w:sz w:val="24"/>
          <w:szCs w:val="24"/>
        </w:rPr>
        <w:t xml:space="preserve"> be undertaken by the University as part of its routine monitoring of its quality assurance processes but may also be prompted due to a specific need, as identified by </w:t>
      </w:r>
      <w:r w:rsidR="0088521F" w:rsidRPr="00D46FD4">
        <w:rPr>
          <w:noProof/>
          <w:sz w:val="24"/>
          <w:szCs w:val="24"/>
        </w:rPr>
        <w:t>the Education Commmittee</w:t>
      </w:r>
      <w:r w:rsidR="00781E58" w:rsidRPr="00D46FD4">
        <w:rPr>
          <w:noProof/>
          <w:sz w:val="24"/>
          <w:szCs w:val="24"/>
        </w:rPr>
        <w:t xml:space="preserve"> (EC)</w:t>
      </w:r>
      <w:r w:rsidR="002C69BC">
        <w:rPr>
          <w:noProof/>
          <w:sz w:val="24"/>
          <w:szCs w:val="24"/>
        </w:rPr>
        <w:t xml:space="preserve"> or</w:t>
      </w:r>
      <w:r w:rsidR="007D369D">
        <w:rPr>
          <w:noProof/>
          <w:sz w:val="24"/>
          <w:szCs w:val="24"/>
        </w:rPr>
        <w:t xml:space="preserve"> </w:t>
      </w:r>
      <w:r w:rsidR="00047DDA">
        <w:rPr>
          <w:noProof/>
          <w:sz w:val="24"/>
          <w:szCs w:val="24"/>
        </w:rPr>
        <w:t>at a</w:t>
      </w:r>
      <w:r w:rsidR="007D369D">
        <w:rPr>
          <w:noProof/>
          <w:sz w:val="24"/>
          <w:szCs w:val="24"/>
        </w:rPr>
        <w:t xml:space="preserve"> KCEP review meeting</w:t>
      </w:r>
      <w:r w:rsidR="00660255" w:rsidRPr="00D46FD4">
        <w:rPr>
          <w:noProof/>
          <w:sz w:val="24"/>
          <w:szCs w:val="24"/>
        </w:rPr>
        <w:t xml:space="preserve"> for example.  </w:t>
      </w:r>
    </w:p>
    <w:p w14:paraId="589CBF1F" w14:textId="77777777" w:rsidR="0040769E" w:rsidRDefault="0040769E" w:rsidP="008116C0">
      <w:pPr>
        <w:pStyle w:val="ListParagraph"/>
        <w:ind w:left="851" w:hanging="491"/>
        <w:rPr>
          <w:noProof/>
          <w:sz w:val="24"/>
          <w:szCs w:val="24"/>
        </w:rPr>
      </w:pPr>
    </w:p>
    <w:p w14:paraId="7A6FE397" w14:textId="339A3A40" w:rsidR="0040769E" w:rsidRDefault="0040769E" w:rsidP="008116C0">
      <w:pPr>
        <w:pStyle w:val="ListParagraph"/>
        <w:numPr>
          <w:ilvl w:val="0"/>
          <w:numId w:val="14"/>
        </w:numPr>
        <w:ind w:left="851" w:hanging="491"/>
        <w:rPr>
          <w:noProof/>
          <w:sz w:val="24"/>
          <w:szCs w:val="24"/>
        </w:rPr>
      </w:pPr>
      <w:r>
        <w:rPr>
          <w:noProof/>
          <w:sz w:val="24"/>
          <w:szCs w:val="24"/>
        </w:rPr>
        <w:t>IQA</w:t>
      </w:r>
      <w:r w:rsidR="009A3AD3">
        <w:rPr>
          <w:noProof/>
          <w:sz w:val="24"/>
          <w:szCs w:val="24"/>
        </w:rPr>
        <w:t xml:space="preserve"> may also be used in order to review student</w:t>
      </w:r>
      <w:r w:rsidR="00310FBF">
        <w:rPr>
          <w:noProof/>
          <w:sz w:val="24"/>
          <w:szCs w:val="24"/>
        </w:rPr>
        <w:t xml:space="preserve"> outcomes and/or</w:t>
      </w:r>
      <w:r w:rsidR="009A3AD3">
        <w:rPr>
          <w:noProof/>
          <w:sz w:val="24"/>
          <w:szCs w:val="24"/>
        </w:rPr>
        <w:t xml:space="preserve"> experience in relation to an institutional theme</w:t>
      </w:r>
      <w:r w:rsidR="00E84478">
        <w:rPr>
          <w:noProof/>
          <w:sz w:val="24"/>
          <w:szCs w:val="24"/>
        </w:rPr>
        <w:t xml:space="preserve"> (usually identified through the analysis of external and internal metrics)</w:t>
      </w:r>
      <w:r w:rsidR="009A3AD3">
        <w:rPr>
          <w:noProof/>
          <w:sz w:val="24"/>
          <w:szCs w:val="24"/>
        </w:rPr>
        <w:t>, rather than in relation to an individual subject area or service.</w:t>
      </w:r>
    </w:p>
    <w:p w14:paraId="382E0750" w14:textId="77777777" w:rsidR="009A3AD3" w:rsidRPr="009A3AD3" w:rsidRDefault="009A3AD3" w:rsidP="008116C0">
      <w:pPr>
        <w:ind w:left="851" w:hanging="491"/>
        <w:rPr>
          <w:noProof/>
          <w:szCs w:val="24"/>
        </w:rPr>
      </w:pPr>
    </w:p>
    <w:p w14:paraId="5F9B164C" w14:textId="4EF1151B" w:rsidR="00660255" w:rsidRPr="00D46FD4" w:rsidRDefault="00660255" w:rsidP="008116C0">
      <w:pPr>
        <w:pStyle w:val="ListParagraph"/>
        <w:numPr>
          <w:ilvl w:val="0"/>
          <w:numId w:val="14"/>
        </w:numPr>
        <w:ind w:left="851" w:hanging="491"/>
        <w:rPr>
          <w:noProof/>
          <w:sz w:val="24"/>
          <w:szCs w:val="24"/>
        </w:rPr>
      </w:pPr>
      <w:r w:rsidRPr="00D46FD4">
        <w:rPr>
          <w:noProof/>
          <w:sz w:val="24"/>
          <w:szCs w:val="24"/>
        </w:rPr>
        <w:t>I</w:t>
      </w:r>
      <w:r w:rsidR="00B105DC">
        <w:rPr>
          <w:noProof/>
          <w:sz w:val="24"/>
          <w:szCs w:val="24"/>
        </w:rPr>
        <w:t>QA is</w:t>
      </w:r>
      <w:r w:rsidRPr="00D46FD4">
        <w:rPr>
          <w:noProof/>
          <w:sz w:val="24"/>
          <w:szCs w:val="24"/>
        </w:rPr>
        <w:t xml:space="preserve"> a process that focuses on enhancement, improvement and dissemination of good practice, and is not a systematic search for and identification of problems, or a “naming and shaming” exercise.</w:t>
      </w:r>
    </w:p>
    <w:p w14:paraId="46E65EAC" w14:textId="77777777" w:rsidR="007C2FFB" w:rsidRDefault="007C2FFB" w:rsidP="008116C0">
      <w:pPr>
        <w:pStyle w:val="ListParagraph"/>
        <w:ind w:left="851" w:hanging="491"/>
        <w:rPr>
          <w:noProof/>
        </w:rPr>
      </w:pPr>
    </w:p>
    <w:p w14:paraId="425893E3" w14:textId="1C7D01B8" w:rsidR="00D46FD4" w:rsidRPr="00E232F1" w:rsidRDefault="00660255" w:rsidP="008116C0">
      <w:pPr>
        <w:pStyle w:val="ListParagraph"/>
        <w:numPr>
          <w:ilvl w:val="0"/>
          <w:numId w:val="14"/>
        </w:numPr>
        <w:ind w:left="851" w:hanging="491"/>
        <w:rPr>
          <w:sz w:val="24"/>
          <w:szCs w:val="24"/>
        </w:rPr>
      </w:pPr>
      <w:r w:rsidRPr="00C02370">
        <w:rPr>
          <w:noProof/>
          <w:sz w:val="24"/>
          <w:szCs w:val="24"/>
        </w:rPr>
        <w:t xml:space="preserve">IQA has </w:t>
      </w:r>
      <w:r w:rsidR="00B105DC">
        <w:rPr>
          <w:noProof/>
          <w:sz w:val="24"/>
          <w:szCs w:val="24"/>
        </w:rPr>
        <w:t>the following</w:t>
      </w:r>
      <w:r w:rsidRPr="00C02370">
        <w:rPr>
          <w:noProof/>
          <w:sz w:val="24"/>
          <w:szCs w:val="24"/>
        </w:rPr>
        <w:t xml:space="preserve"> main purposes: </w:t>
      </w:r>
    </w:p>
    <w:p w14:paraId="0B0162A5" w14:textId="0CCDDC9B" w:rsidR="00A55054" w:rsidRPr="00DC7E87" w:rsidRDefault="00660255" w:rsidP="008116C0">
      <w:pPr>
        <w:pStyle w:val="ListParagraph"/>
        <w:numPr>
          <w:ilvl w:val="0"/>
          <w:numId w:val="12"/>
        </w:numPr>
        <w:ind w:left="1418" w:hanging="425"/>
        <w:rPr>
          <w:sz w:val="24"/>
          <w:szCs w:val="24"/>
          <w:u w:val="single"/>
        </w:rPr>
      </w:pPr>
      <w:r w:rsidRPr="00DC7E87">
        <w:rPr>
          <w:sz w:val="24"/>
          <w:szCs w:val="24"/>
        </w:rPr>
        <w:t>audit of ongoing effectiveness of current procedures, with a focus on enhancement, improvement</w:t>
      </w:r>
      <w:r w:rsidR="001C3196">
        <w:rPr>
          <w:sz w:val="24"/>
          <w:szCs w:val="24"/>
        </w:rPr>
        <w:t>,</w:t>
      </w:r>
      <w:r w:rsidRPr="00DC7E87">
        <w:rPr>
          <w:sz w:val="24"/>
          <w:szCs w:val="24"/>
        </w:rPr>
        <w:t xml:space="preserve"> and dissemination of good practice</w:t>
      </w:r>
    </w:p>
    <w:p w14:paraId="4F32064B" w14:textId="77777777" w:rsidR="00A55054" w:rsidRPr="00DC7E87" w:rsidRDefault="00660255" w:rsidP="008116C0">
      <w:pPr>
        <w:pStyle w:val="ListParagraph"/>
        <w:numPr>
          <w:ilvl w:val="0"/>
          <w:numId w:val="12"/>
        </w:numPr>
        <w:ind w:left="1418" w:hanging="425"/>
        <w:rPr>
          <w:sz w:val="24"/>
          <w:szCs w:val="24"/>
          <w:u w:val="single"/>
        </w:rPr>
      </w:pPr>
      <w:r w:rsidRPr="00DC7E87">
        <w:rPr>
          <w:sz w:val="24"/>
          <w:szCs w:val="24"/>
        </w:rPr>
        <w:t xml:space="preserve">audit of compliance, where evidence has emerged of significant non-compliance with agreed </w:t>
      </w:r>
      <w:proofErr w:type="gramStart"/>
      <w:r w:rsidRPr="00DC7E87">
        <w:rPr>
          <w:sz w:val="24"/>
          <w:szCs w:val="24"/>
        </w:rPr>
        <w:t>procedures</w:t>
      </w:r>
      <w:proofErr w:type="gramEnd"/>
    </w:p>
    <w:p w14:paraId="4D28477B" w14:textId="77777777" w:rsidR="00660255" w:rsidRPr="00857673" w:rsidRDefault="00660255" w:rsidP="008116C0">
      <w:pPr>
        <w:pStyle w:val="ListParagraph"/>
        <w:numPr>
          <w:ilvl w:val="0"/>
          <w:numId w:val="12"/>
        </w:numPr>
        <w:ind w:left="1418" w:hanging="425"/>
        <w:rPr>
          <w:sz w:val="24"/>
          <w:szCs w:val="24"/>
          <w:u w:val="single"/>
        </w:rPr>
      </w:pPr>
      <w:r w:rsidRPr="00DC7E87">
        <w:rPr>
          <w:sz w:val="24"/>
          <w:szCs w:val="24"/>
        </w:rPr>
        <w:t>investigation of specific problems, for example wher</w:t>
      </w:r>
      <w:r w:rsidR="00636A90" w:rsidRPr="00DC7E87">
        <w:rPr>
          <w:sz w:val="24"/>
          <w:szCs w:val="24"/>
        </w:rPr>
        <w:t xml:space="preserve">e a course team needs </w:t>
      </w:r>
      <w:r w:rsidRPr="00DC7E87">
        <w:rPr>
          <w:sz w:val="24"/>
          <w:szCs w:val="24"/>
        </w:rPr>
        <w:t xml:space="preserve">help with an apparently intractable difficulty or where quality assurance procedures reveal a significant </w:t>
      </w:r>
      <w:proofErr w:type="gramStart"/>
      <w:r w:rsidRPr="00DC7E87">
        <w:rPr>
          <w:sz w:val="24"/>
          <w:szCs w:val="24"/>
        </w:rPr>
        <w:t>issue</w:t>
      </w:r>
      <w:proofErr w:type="gramEnd"/>
    </w:p>
    <w:p w14:paraId="7DC308FF" w14:textId="39FE5DBE" w:rsidR="00857673" w:rsidRPr="00B94F71" w:rsidRDefault="00857673" w:rsidP="008116C0">
      <w:pPr>
        <w:pStyle w:val="ListParagraph"/>
        <w:numPr>
          <w:ilvl w:val="0"/>
          <w:numId w:val="12"/>
        </w:numPr>
        <w:ind w:left="1418" w:hanging="425"/>
        <w:rPr>
          <w:sz w:val="24"/>
          <w:szCs w:val="24"/>
          <w:u w:val="single"/>
        </w:rPr>
      </w:pPr>
      <w:r>
        <w:rPr>
          <w:sz w:val="24"/>
          <w:szCs w:val="24"/>
        </w:rPr>
        <w:t xml:space="preserve">facilitation of cross-university discussion between faculties and </w:t>
      </w:r>
      <w:r w:rsidR="0025564F">
        <w:rPr>
          <w:sz w:val="24"/>
          <w:szCs w:val="24"/>
        </w:rPr>
        <w:t>directorates on topics of common concern</w:t>
      </w:r>
    </w:p>
    <w:p w14:paraId="16737ADB" w14:textId="07991413" w:rsidR="00B94F71" w:rsidRPr="00DC7E87" w:rsidRDefault="00B94F71" w:rsidP="008116C0">
      <w:pPr>
        <w:pStyle w:val="ListParagraph"/>
        <w:numPr>
          <w:ilvl w:val="0"/>
          <w:numId w:val="12"/>
        </w:numPr>
        <w:ind w:left="1418" w:hanging="425"/>
        <w:rPr>
          <w:sz w:val="24"/>
          <w:szCs w:val="24"/>
          <w:u w:val="single"/>
        </w:rPr>
      </w:pPr>
      <w:r>
        <w:rPr>
          <w:sz w:val="24"/>
          <w:szCs w:val="24"/>
        </w:rPr>
        <w:t xml:space="preserve">identification of action or support required at </w:t>
      </w:r>
      <w:r w:rsidR="00AF7728">
        <w:rPr>
          <w:sz w:val="24"/>
          <w:szCs w:val="24"/>
        </w:rPr>
        <w:t xml:space="preserve">a local or institutional </w:t>
      </w:r>
      <w:proofErr w:type="gramStart"/>
      <w:r w:rsidR="00AF7728">
        <w:rPr>
          <w:sz w:val="24"/>
          <w:szCs w:val="24"/>
        </w:rPr>
        <w:t>level</w:t>
      </w:r>
      <w:proofErr w:type="gramEnd"/>
    </w:p>
    <w:p w14:paraId="146C2CB9" w14:textId="77777777" w:rsidR="007C2FFB" w:rsidRDefault="007C2FFB" w:rsidP="008116C0">
      <w:pPr>
        <w:pStyle w:val="ListParagraph"/>
        <w:ind w:left="851" w:hanging="491"/>
        <w:rPr>
          <w:noProof/>
        </w:rPr>
      </w:pPr>
    </w:p>
    <w:p w14:paraId="1D4B2A87" w14:textId="7F4C216E" w:rsidR="00660255" w:rsidRPr="00D46FD4" w:rsidRDefault="00660255" w:rsidP="008116C0">
      <w:pPr>
        <w:pStyle w:val="ListParagraph"/>
        <w:numPr>
          <w:ilvl w:val="0"/>
          <w:numId w:val="14"/>
        </w:numPr>
        <w:ind w:left="851" w:hanging="491"/>
        <w:rPr>
          <w:noProof/>
          <w:sz w:val="24"/>
          <w:szCs w:val="24"/>
        </w:rPr>
      </w:pPr>
      <w:r w:rsidRPr="00D46FD4">
        <w:rPr>
          <w:noProof/>
          <w:sz w:val="24"/>
          <w:szCs w:val="24"/>
        </w:rPr>
        <w:t>In some cases, there may be a degree of overlap between these purposes.</w:t>
      </w:r>
    </w:p>
    <w:p w14:paraId="34A47817" w14:textId="77777777" w:rsidR="007C2FFB" w:rsidRDefault="007C2FFB" w:rsidP="00AF3E20">
      <w:pPr>
        <w:pStyle w:val="Heading2"/>
        <w:rPr>
          <w:noProof/>
        </w:rPr>
      </w:pPr>
      <w:bookmarkStart w:id="18" w:name="_Toc97553089"/>
    </w:p>
    <w:p w14:paraId="67AB45A5" w14:textId="044ABD8E" w:rsidR="00636A90" w:rsidRPr="00A80B56" w:rsidRDefault="00A9026E" w:rsidP="00AF3E20">
      <w:pPr>
        <w:pStyle w:val="Heading2"/>
        <w:rPr>
          <w:noProof/>
        </w:rPr>
      </w:pPr>
      <w:bookmarkStart w:id="19" w:name="_Toc203123038"/>
      <w:bookmarkEnd w:id="18"/>
      <w:r>
        <w:rPr>
          <w:noProof/>
        </w:rPr>
        <w:t>Process</w:t>
      </w:r>
      <w:bookmarkEnd w:id="19"/>
    </w:p>
    <w:p w14:paraId="21BAC99A" w14:textId="77777777" w:rsidR="007C2FFB" w:rsidRDefault="007C2FFB" w:rsidP="007C2FFB">
      <w:pPr>
        <w:pStyle w:val="ListParagraph"/>
        <w:rPr>
          <w:noProof/>
        </w:rPr>
      </w:pPr>
    </w:p>
    <w:p w14:paraId="309BCB85" w14:textId="42450834" w:rsidR="00237D4D" w:rsidRPr="00D46FD4" w:rsidRDefault="00106C6A" w:rsidP="008116C0">
      <w:pPr>
        <w:pStyle w:val="ListParagraph"/>
        <w:numPr>
          <w:ilvl w:val="0"/>
          <w:numId w:val="14"/>
        </w:numPr>
        <w:ind w:left="851" w:hanging="491"/>
        <w:rPr>
          <w:noProof/>
          <w:sz w:val="24"/>
          <w:szCs w:val="24"/>
        </w:rPr>
      </w:pPr>
      <w:r>
        <w:rPr>
          <w:noProof/>
          <w:sz w:val="24"/>
          <w:szCs w:val="24"/>
        </w:rPr>
        <w:t>The</w:t>
      </w:r>
      <w:r w:rsidR="00EF5C23" w:rsidRPr="00D46FD4">
        <w:rPr>
          <w:noProof/>
          <w:sz w:val="24"/>
          <w:szCs w:val="24"/>
        </w:rPr>
        <w:t xml:space="preserve"> Education Commmittee</w:t>
      </w:r>
      <w:r w:rsidR="00781E58" w:rsidRPr="00D46FD4">
        <w:rPr>
          <w:noProof/>
          <w:sz w:val="24"/>
          <w:szCs w:val="24"/>
        </w:rPr>
        <w:t xml:space="preserve"> (EC)</w:t>
      </w:r>
      <w:r w:rsidR="00EF5C23" w:rsidRPr="00D46FD4">
        <w:rPr>
          <w:noProof/>
          <w:sz w:val="24"/>
          <w:szCs w:val="24"/>
        </w:rPr>
        <w:t xml:space="preserve"> </w:t>
      </w:r>
      <w:r>
        <w:rPr>
          <w:noProof/>
          <w:sz w:val="24"/>
          <w:szCs w:val="24"/>
        </w:rPr>
        <w:t>has overall responsibility for the approval and monitor</w:t>
      </w:r>
      <w:r w:rsidR="007145CB">
        <w:rPr>
          <w:noProof/>
          <w:sz w:val="24"/>
          <w:szCs w:val="24"/>
        </w:rPr>
        <w:t>i</w:t>
      </w:r>
      <w:r>
        <w:rPr>
          <w:noProof/>
          <w:sz w:val="24"/>
          <w:szCs w:val="24"/>
        </w:rPr>
        <w:t xml:space="preserve">ng of </w:t>
      </w:r>
      <w:r w:rsidR="00660255" w:rsidRPr="00D46FD4">
        <w:rPr>
          <w:noProof/>
          <w:sz w:val="24"/>
          <w:szCs w:val="24"/>
        </w:rPr>
        <w:t xml:space="preserve">IQAs. </w:t>
      </w:r>
      <w:r w:rsidR="00781E58" w:rsidRPr="00D46FD4">
        <w:rPr>
          <w:noProof/>
          <w:sz w:val="24"/>
          <w:szCs w:val="24"/>
        </w:rPr>
        <w:t>EC</w:t>
      </w:r>
      <w:r w:rsidR="0088521F" w:rsidRPr="00D46FD4">
        <w:rPr>
          <w:noProof/>
          <w:sz w:val="24"/>
          <w:szCs w:val="24"/>
        </w:rPr>
        <w:t xml:space="preserve"> </w:t>
      </w:r>
      <w:r w:rsidR="00660255" w:rsidRPr="00D46FD4">
        <w:rPr>
          <w:noProof/>
          <w:sz w:val="24"/>
          <w:szCs w:val="24"/>
        </w:rPr>
        <w:t>will receive the report of the meeting and the consequent action plan.</w:t>
      </w:r>
    </w:p>
    <w:p w14:paraId="21BE455F" w14:textId="77777777" w:rsidR="007C2FFB" w:rsidRPr="00D46FD4" w:rsidRDefault="007C2FFB" w:rsidP="008116C0">
      <w:pPr>
        <w:pStyle w:val="ListParagraph"/>
        <w:ind w:left="851" w:hanging="491"/>
        <w:rPr>
          <w:noProof/>
          <w:sz w:val="24"/>
          <w:szCs w:val="24"/>
        </w:rPr>
      </w:pPr>
    </w:p>
    <w:p w14:paraId="494DC50F" w14:textId="63E22C7C" w:rsidR="00A9026E" w:rsidRDefault="007145CB" w:rsidP="008116C0">
      <w:pPr>
        <w:pStyle w:val="ListParagraph"/>
        <w:numPr>
          <w:ilvl w:val="0"/>
          <w:numId w:val="14"/>
        </w:numPr>
        <w:ind w:left="851" w:hanging="491"/>
        <w:rPr>
          <w:noProof/>
          <w:sz w:val="24"/>
          <w:szCs w:val="24"/>
        </w:rPr>
      </w:pPr>
      <w:r>
        <w:rPr>
          <w:noProof/>
          <w:sz w:val="24"/>
          <w:szCs w:val="24"/>
        </w:rPr>
        <w:t>The scope, remit</w:t>
      </w:r>
      <w:r w:rsidR="00254202">
        <w:rPr>
          <w:noProof/>
          <w:sz w:val="24"/>
          <w:szCs w:val="24"/>
        </w:rPr>
        <w:t>, format</w:t>
      </w:r>
      <w:r>
        <w:rPr>
          <w:noProof/>
          <w:sz w:val="24"/>
          <w:szCs w:val="24"/>
        </w:rPr>
        <w:t xml:space="preserve"> and timeframe of each IQA will be decided on a case-by-case basis, following discussions between the PVC Education, QAE, LTEC and other relevant departments.</w:t>
      </w:r>
    </w:p>
    <w:p w14:paraId="76AB1268" w14:textId="77777777" w:rsidR="0047571F" w:rsidRPr="0047571F" w:rsidRDefault="0047571F" w:rsidP="0047571F">
      <w:pPr>
        <w:pStyle w:val="ListParagraph"/>
        <w:rPr>
          <w:noProof/>
          <w:sz w:val="24"/>
          <w:szCs w:val="24"/>
        </w:rPr>
      </w:pPr>
    </w:p>
    <w:p w14:paraId="3D5811AE" w14:textId="53A3B781" w:rsidR="0047571F" w:rsidRDefault="0047571F" w:rsidP="008116C0">
      <w:pPr>
        <w:pStyle w:val="ListParagraph"/>
        <w:numPr>
          <w:ilvl w:val="0"/>
          <w:numId w:val="14"/>
        </w:numPr>
        <w:ind w:left="851" w:hanging="491"/>
        <w:rPr>
          <w:noProof/>
          <w:sz w:val="24"/>
          <w:szCs w:val="24"/>
        </w:rPr>
      </w:pPr>
      <w:r>
        <w:rPr>
          <w:noProof/>
          <w:sz w:val="24"/>
          <w:szCs w:val="24"/>
        </w:rPr>
        <w:lastRenderedPageBreak/>
        <w:t xml:space="preserve">A panel will be selected for each IQA. The panel will usually by chaired by the PVC Education (or their nominee). The panel will include representatives from within the University and, if appropriate, an external representative. The panel may also include a student representative. The panel will be supported by </w:t>
      </w:r>
      <w:r w:rsidR="00A37EAE">
        <w:rPr>
          <w:noProof/>
          <w:sz w:val="24"/>
          <w:szCs w:val="24"/>
        </w:rPr>
        <w:t>a representative from QAE.</w:t>
      </w:r>
    </w:p>
    <w:p w14:paraId="764389DA" w14:textId="77777777" w:rsidR="00557C96" w:rsidRPr="00557C96" w:rsidRDefault="00557C96" w:rsidP="00557C96">
      <w:pPr>
        <w:pStyle w:val="ListParagraph"/>
        <w:rPr>
          <w:noProof/>
          <w:sz w:val="24"/>
          <w:szCs w:val="24"/>
        </w:rPr>
      </w:pPr>
    </w:p>
    <w:p w14:paraId="09074089" w14:textId="3729935F" w:rsidR="00557C96" w:rsidRDefault="000F3791" w:rsidP="008116C0">
      <w:pPr>
        <w:pStyle w:val="ListParagraph"/>
        <w:numPr>
          <w:ilvl w:val="0"/>
          <w:numId w:val="14"/>
        </w:numPr>
        <w:ind w:left="851" w:hanging="491"/>
        <w:rPr>
          <w:noProof/>
          <w:sz w:val="24"/>
          <w:szCs w:val="24"/>
        </w:rPr>
      </w:pPr>
      <w:r>
        <w:rPr>
          <w:noProof/>
          <w:sz w:val="24"/>
          <w:szCs w:val="24"/>
        </w:rPr>
        <w:t>Depending on</w:t>
      </w:r>
      <w:r w:rsidR="0020397D">
        <w:rPr>
          <w:noProof/>
          <w:sz w:val="24"/>
          <w:szCs w:val="24"/>
        </w:rPr>
        <w:t xml:space="preserve"> the scope and remit</w:t>
      </w:r>
      <w:r w:rsidR="00390B2C">
        <w:rPr>
          <w:noProof/>
          <w:sz w:val="24"/>
          <w:szCs w:val="24"/>
        </w:rPr>
        <w:t>, the IQA may incorporate</w:t>
      </w:r>
      <w:r w:rsidR="00351646">
        <w:rPr>
          <w:noProof/>
          <w:sz w:val="24"/>
          <w:szCs w:val="24"/>
        </w:rPr>
        <w:t xml:space="preserve"> one or more of the following</w:t>
      </w:r>
      <w:r w:rsidR="00390B2C">
        <w:rPr>
          <w:noProof/>
          <w:sz w:val="24"/>
          <w:szCs w:val="24"/>
        </w:rPr>
        <w:t>:</w:t>
      </w:r>
    </w:p>
    <w:p w14:paraId="1850533D" w14:textId="66C1B1FE" w:rsidR="00390B2C" w:rsidRPr="00130495" w:rsidRDefault="00390B2C" w:rsidP="00390B2C">
      <w:pPr>
        <w:pStyle w:val="ListParagraph"/>
        <w:numPr>
          <w:ilvl w:val="0"/>
          <w:numId w:val="19"/>
        </w:numPr>
        <w:rPr>
          <w:noProof/>
          <w:sz w:val="24"/>
          <w:szCs w:val="24"/>
        </w:rPr>
      </w:pPr>
      <w:r w:rsidRPr="00130495">
        <w:rPr>
          <w:noProof/>
          <w:sz w:val="24"/>
          <w:szCs w:val="24"/>
        </w:rPr>
        <w:t>The analysis of evidence</w:t>
      </w:r>
      <w:r w:rsidR="00C5756E">
        <w:rPr>
          <w:noProof/>
          <w:sz w:val="24"/>
          <w:szCs w:val="24"/>
        </w:rPr>
        <w:t xml:space="preserve"> (</w:t>
      </w:r>
      <w:r w:rsidR="00C5756E" w:rsidRPr="00EB1A1C">
        <w:rPr>
          <w:i/>
          <w:iCs/>
          <w:noProof/>
          <w:sz w:val="24"/>
          <w:szCs w:val="24"/>
        </w:rPr>
        <w:t>see below</w:t>
      </w:r>
      <w:r w:rsidR="00C5756E">
        <w:rPr>
          <w:noProof/>
          <w:sz w:val="24"/>
          <w:szCs w:val="24"/>
        </w:rPr>
        <w:t>)</w:t>
      </w:r>
    </w:p>
    <w:p w14:paraId="3B74E21E" w14:textId="3DCC6D03" w:rsidR="00390B2C" w:rsidRPr="00130495" w:rsidRDefault="00390B2C" w:rsidP="00390B2C">
      <w:pPr>
        <w:pStyle w:val="ListParagraph"/>
        <w:numPr>
          <w:ilvl w:val="0"/>
          <w:numId w:val="19"/>
        </w:numPr>
        <w:rPr>
          <w:noProof/>
          <w:sz w:val="24"/>
          <w:szCs w:val="24"/>
        </w:rPr>
      </w:pPr>
      <w:r w:rsidRPr="00130495">
        <w:rPr>
          <w:noProof/>
          <w:sz w:val="24"/>
          <w:szCs w:val="24"/>
        </w:rPr>
        <w:t>A review of sector practice</w:t>
      </w:r>
    </w:p>
    <w:p w14:paraId="2E644055" w14:textId="47BE9EFF" w:rsidR="00390B2C" w:rsidRPr="00130495" w:rsidRDefault="00390B2C" w:rsidP="00390B2C">
      <w:pPr>
        <w:pStyle w:val="ListParagraph"/>
        <w:numPr>
          <w:ilvl w:val="0"/>
          <w:numId w:val="19"/>
        </w:numPr>
        <w:rPr>
          <w:noProof/>
          <w:sz w:val="24"/>
          <w:szCs w:val="24"/>
        </w:rPr>
      </w:pPr>
      <w:r w:rsidRPr="00130495">
        <w:rPr>
          <w:noProof/>
          <w:sz w:val="24"/>
          <w:szCs w:val="24"/>
        </w:rPr>
        <w:t>Consideration of external requirements</w:t>
      </w:r>
    </w:p>
    <w:p w14:paraId="03F9E560" w14:textId="1F0126AA" w:rsidR="00390B2C" w:rsidRPr="003633DC" w:rsidRDefault="00783BA8" w:rsidP="00390B2C">
      <w:pPr>
        <w:pStyle w:val="ListParagraph"/>
        <w:numPr>
          <w:ilvl w:val="0"/>
          <w:numId w:val="19"/>
        </w:numPr>
        <w:rPr>
          <w:noProof/>
          <w:szCs w:val="24"/>
        </w:rPr>
      </w:pPr>
      <w:r w:rsidRPr="00130495">
        <w:rPr>
          <w:noProof/>
          <w:sz w:val="24"/>
          <w:szCs w:val="24"/>
        </w:rPr>
        <w:t>Meetings with staff and students</w:t>
      </w:r>
    </w:p>
    <w:p w14:paraId="7386B368" w14:textId="77777777" w:rsidR="003633DC" w:rsidRDefault="003633DC" w:rsidP="003633DC">
      <w:pPr>
        <w:rPr>
          <w:noProof/>
          <w:szCs w:val="24"/>
        </w:rPr>
      </w:pPr>
    </w:p>
    <w:p w14:paraId="7E6BC762" w14:textId="5003F793" w:rsidR="003633DC" w:rsidRDefault="003633DC" w:rsidP="008116C0">
      <w:pPr>
        <w:pStyle w:val="ListParagraph"/>
        <w:numPr>
          <w:ilvl w:val="0"/>
          <w:numId w:val="14"/>
        </w:numPr>
        <w:ind w:left="851" w:hanging="491"/>
        <w:rPr>
          <w:noProof/>
          <w:sz w:val="24"/>
          <w:szCs w:val="24"/>
        </w:rPr>
      </w:pPr>
      <w:r w:rsidRPr="002F459C">
        <w:rPr>
          <w:noProof/>
          <w:sz w:val="24"/>
          <w:szCs w:val="24"/>
        </w:rPr>
        <w:t xml:space="preserve">On some occassions, it may be agreed that a desk-based review is </w:t>
      </w:r>
      <w:r w:rsidR="002F459C" w:rsidRPr="002F459C">
        <w:rPr>
          <w:noProof/>
          <w:sz w:val="24"/>
          <w:szCs w:val="24"/>
        </w:rPr>
        <w:t>appropriate. This may the case when a specific problem relates to a niche aspect of deliver (e.g. an issue at a collaborative partner) which would not apply across the University. In addition, a desk based review</w:t>
      </w:r>
      <w:r w:rsidRPr="002F459C">
        <w:rPr>
          <w:noProof/>
          <w:sz w:val="24"/>
          <w:szCs w:val="24"/>
        </w:rPr>
        <w:t xml:space="preserve"> </w:t>
      </w:r>
      <w:r w:rsidR="002F459C">
        <w:rPr>
          <w:noProof/>
          <w:sz w:val="24"/>
          <w:szCs w:val="24"/>
        </w:rPr>
        <w:t>may be commissioned where a problem has ari</w:t>
      </w:r>
      <w:r w:rsidR="00555C57">
        <w:rPr>
          <w:noProof/>
          <w:sz w:val="24"/>
          <w:szCs w:val="24"/>
        </w:rPr>
        <w:t>sen that requires rapid remedy. In these instances the initial discussion will determine who will undertake the desk based investigation and the evidence set to be reviewed. A threshold against which further action would be required should it be reached may be set.</w:t>
      </w:r>
    </w:p>
    <w:p w14:paraId="03D843C0" w14:textId="1315D3B4" w:rsidR="0089126E" w:rsidRDefault="0089126E" w:rsidP="008116C0">
      <w:pPr>
        <w:pStyle w:val="ListParagraph"/>
        <w:ind w:left="851" w:hanging="491"/>
        <w:rPr>
          <w:noProof/>
          <w:sz w:val="24"/>
          <w:szCs w:val="24"/>
        </w:rPr>
      </w:pPr>
    </w:p>
    <w:p w14:paraId="4F145B17" w14:textId="37B01614" w:rsidR="0089126E" w:rsidRDefault="0089126E" w:rsidP="008116C0">
      <w:pPr>
        <w:pStyle w:val="ListParagraph"/>
        <w:numPr>
          <w:ilvl w:val="0"/>
          <w:numId w:val="14"/>
        </w:numPr>
        <w:ind w:left="851" w:hanging="491"/>
        <w:rPr>
          <w:noProof/>
          <w:sz w:val="24"/>
          <w:szCs w:val="24"/>
        </w:rPr>
      </w:pPr>
      <w:r>
        <w:rPr>
          <w:noProof/>
          <w:sz w:val="24"/>
          <w:szCs w:val="24"/>
        </w:rPr>
        <w:t>One outcome of a desk-bsed review may be the initiation of a full IQA of that area.</w:t>
      </w:r>
    </w:p>
    <w:p w14:paraId="026A03CE" w14:textId="77777777" w:rsidR="00AB6C3C" w:rsidRPr="00AB6C3C" w:rsidRDefault="00AB6C3C" w:rsidP="00AB6C3C">
      <w:pPr>
        <w:pStyle w:val="ListParagraph"/>
        <w:rPr>
          <w:noProof/>
          <w:sz w:val="24"/>
          <w:szCs w:val="24"/>
        </w:rPr>
      </w:pPr>
    </w:p>
    <w:p w14:paraId="7B0ED0B7" w14:textId="76E15DF2" w:rsidR="00AB6C3C" w:rsidRPr="002F459C" w:rsidRDefault="00AB6C3C" w:rsidP="008116C0">
      <w:pPr>
        <w:pStyle w:val="ListParagraph"/>
        <w:numPr>
          <w:ilvl w:val="0"/>
          <w:numId w:val="14"/>
        </w:numPr>
        <w:ind w:left="851" w:hanging="491"/>
        <w:rPr>
          <w:noProof/>
          <w:sz w:val="24"/>
          <w:szCs w:val="24"/>
        </w:rPr>
      </w:pPr>
      <w:r>
        <w:rPr>
          <w:noProof/>
          <w:sz w:val="24"/>
          <w:szCs w:val="24"/>
        </w:rPr>
        <w:t>Once an IQA is initiated, QAE will formally notify relevant faculties/departments and will arrange the date for the IQA. The Head of Quality Assurance</w:t>
      </w:r>
      <w:r w:rsidR="006132BC">
        <w:rPr>
          <w:noProof/>
          <w:sz w:val="24"/>
          <w:szCs w:val="24"/>
        </w:rPr>
        <w:t xml:space="preserve"> and Enhancement is responsible for overseeing and advising on the details of the arrangements for the IQA.</w:t>
      </w:r>
    </w:p>
    <w:p w14:paraId="478DBF58" w14:textId="77777777" w:rsidR="00A9026E" w:rsidRDefault="00A9026E" w:rsidP="00A9026E">
      <w:pPr>
        <w:pStyle w:val="ListParagraph"/>
        <w:rPr>
          <w:noProof/>
          <w:sz w:val="24"/>
          <w:szCs w:val="24"/>
        </w:rPr>
      </w:pPr>
    </w:p>
    <w:p w14:paraId="5350CADE" w14:textId="753846EB" w:rsidR="00A9026E" w:rsidRDefault="002841C8" w:rsidP="004353EA">
      <w:pPr>
        <w:pStyle w:val="Heading3"/>
        <w:rPr>
          <w:noProof/>
        </w:rPr>
      </w:pPr>
      <w:bookmarkStart w:id="20" w:name="_Toc203123039"/>
      <w:r w:rsidRPr="00361DEB">
        <w:rPr>
          <w:noProof/>
        </w:rPr>
        <w:t xml:space="preserve">Documentary </w:t>
      </w:r>
      <w:r w:rsidR="006132BC" w:rsidRPr="00361DEB">
        <w:rPr>
          <w:noProof/>
        </w:rPr>
        <w:t>Evidence</w:t>
      </w:r>
      <w:bookmarkEnd w:id="20"/>
    </w:p>
    <w:p w14:paraId="3D32704A" w14:textId="77777777" w:rsidR="004C6C6C" w:rsidRPr="004C6C6C" w:rsidRDefault="004C6C6C" w:rsidP="004C6C6C"/>
    <w:p w14:paraId="1A57DC67" w14:textId="4715E509" w:rsidR="00A9026E" w:rsidRDefault="007D7B77" w:rsidP="008116C0">
      <w:pPr>
        <w:pStyle w:val="ListParagraph"/>
        <w:numPr>
          <w:ilvl w:val="0"/>
          <w:numId w:val="14"/>
        </w:numPr>
        <w:ind w:left="851" w:hanging="491"/>
        <w:rPr>
          <w:noProof/>
          <w:sz w:val="24"/>
          <w:szCs w:val="24"/>
        </w:rPr>
      </w:pPr>
      <w:r>
        <w:rPr>
          <w:noProof/>
          <w:sz w:val="24"/>
          <w:szCs w:val="24"/>
        </w:rPr>
        <w:t>It is likely that</w:t>
      </w:r>
      <w:r w:rsidR="002C5A6A">
        <w:rPr>
          <w:noProof/>
          <w:sz w:val="24"/>
          <w:szCs w:val="24"/>
        </w:rPr>
        <w:t xml:space="preserve"> IQA will predominantly draw upon existing evidence and there will be no requirement for the provision of additional evidence specifically for the </w:t>
      </w:r>
      <w:r w:rsidR="00ED7A54">
        <w:rPr>
          <w:noProof/>
          <w:sz w:val="24"/>
          <w:szCs w:val="24"/>
        </w:rPr>
        <w:t>review. However, this will be agreed during the initial discussions.</w:t>
      </w:r>
    </w:p>
    <w:p w14:paraId="022A5CD7" w14:textId="77777777" w:rsidR="002A451C" w:rsidRDefault="002A451C" w:rsidP="008116C0">
      <w:pPr>
        <w:ind w:left="851" w:hanging="491"/>
        <w:rPr>
          <w:noProof/>
          <w:szCs w:val="24"/>
        </w:rPr>
      </w:pPr>
    </w:p>
    <w:p w14:paraId="02618905" w14:textId="65D3376C" w:rsidR="002A451C" w:rsidRPr="008116C0" w:rsidRDefault="002A451C" w:rsidP="008116C0">
      <w:pPr>
        <w:pStyle w:val="ListParagraph"/>
        <w:numPr>
          <w:ilvl w:val="0"/>
          <w:numId w:val="14"/>
        </w:numPr>
        <w:ind w:left="851" w:hanging="491"/>
        <w:rPr>
          <w:noProof/>
          <w:szCs w:val="24"/>
        </w:rPr>
      </w:pPr>
      <w:r w:rsidRPr="00812AD6">
        <w:rPr>
          <w:noProof/>
          <w:sz w:val="24"/>
          <w:szCs w:val="24"/>
        </w:rPr>
        <w:t xml:space="preserve">QAE </w:t>
      </w:r>
      <w:r>
        <w:rPr>
          <w:noProof/>
          <w:sz w:val="24"/>
          <w:szCs w:val="24"/>
        </w:rPr>
        <w:t>will issue</w:t>
      </w:r>
      <w:r w:rsidRPr="00812AD6">
        <w:rPr>
          <w:noProof/>
          <w:sz w:val="24"/>
          <w:szCs w:val="24"/>
        </w:rPr>
        <w:t xml:space="preserve"> the request for evidence to the faculty</w:t>
      </w:r>
      <w:r w:rsidR="008116C0">
        <w:rPr>
          <w:noProof/>
          <w:sz w:val="24"/>
          <w:szCs w:val="24"/>
        </w:rPr>
        <w:t>(ies)</w:t>
      </w:r>
      <w:r w:rsidRPr="00812AD6">
        <w:rPr>
          <w:noProof/>
          <w:sz w:val="24"/>
          <w:szCs w:val="24"/>
        </w:rPr>
        <w:t>/department</w:t>
      </w:r>
      <w:r w:rsidR="008116C0">
        <w:rPr>
          <w:noProof/>
          <w:sz w:val="24"/>
          <w:szCs w:val="24"/>
        </w:rPr>
        <w:t>(s)</w:t>
      </w:r>
      <w:r w:rsidRPr="00812AD6">
        <w:rPr>
          <w:noProof/>
          <w:sz w:val="24"/>
          <w:szCs w:val="24"/>
        </w:rPr>
        <w:t xml:space="preserve"> being audited.  Requests for evidence will be kept to a minimum and issued to those being audited as quickly as possible</w:t>
      </w:r>
      <w:r w:rsidR="008116C0">
        <w:rPr>
          <w:noProof/>
          <w:sz w:val="24"/>
          <w:szCs w:val="24"/>
        </w:rPr>
        <w:t>.</w:t>
      </w:r>
    </w:p>
    <w:p w14:paraId="73A86446" w14:textId="77777777" w:rsidR="008116C0" w:rsidRPr="008116C0" w:rsidRDefault="008116C0" w:rsidP="008116C0">
      <w:pPr>
        <w:pStyle w:val="ListParagraph"/>
        <w:ind w:left="851" w:hanging="491"/>
        <w:rPr>
          <w:noProof/>
          <w:szCs w:val="24"/>
        </w:rPr>
      </w:pPr>
    </w:p>
    <w:p w14:paraId="5ED02F03" w14:textId="5EB564E3" w:rsidR="008116C0" w:rsidRPr="002A451C" w:rsidRDefault="008116C0" w:rsidP="008116C0">
      <w:pPr>
        <w:pStyle w:val="ListParagraph"/>
        <w:numPr>
          <w:ilvl w:val="0"/>
          <w:numId w:val="14"/>
        </w:numPr>
        <w:ind w:left="851" w:hanging="491"/>
        <w:rPr>
          <w:noProof/>
          <w:szCs w:val="24"/>
        </w:rPr>
      </w:pPr>
      <w:r w:rsidRPr="00812AD6">
        <w:rPr>
          <w:noProof/>
          <w:sz w:val="24"/>
          <w:szCs w:val="24"/>
        </w:rPr>
        <w:t>The evidence requested will normally be made available by the faculty</w:t>
      </w:r>
      <w:r>
        <w:rPr>
          <w:noProof/>
          <w:sz w:val="24"/>
          <w:szCs w:val="24"/>
        </w:rPr>
        <w:t>(ies)</w:t>
      </w:r>
      <w:r w:rsidRPr="00812AD6">
        <w:rPr>
          <w:noProof/>
          <w:sz w:val="24"/>
          <w:szCs w:val="24"/>
        </w:rPr>
        <w:t>/department</w:t>
      </w:r>
      <w:r>
        <w:rPr>
          <w:noProof/>
          <w:sz w:val="24"/>
          <w:szCs w:val="24"/>
        </w:rPr>
        <w:t>(s)</w:t>
      </w:r>
      <w:r w:rsidRPr="00812AD6">
        <w:rPr>
          <w:noProof/>
          <w:sz w:val="24"/>
          <w:szCs w:val="24"/>
        </w:rPr>
        <w:t xml:space="preserve"> in the IQA event base room on the day of the event</w:t>
      </w:r>
    </w:p>
    <w:p w14:paraId="529BD033" w14:textId="77777777" w:rsidR="00A9026E" w:rsidRDefault="00A9026E" w:rsidP="00A9026E">
      <w:pPr>
        <w:pStyle w:val="ListParagraph"/>
        <w:rPr>
          <w:noProof/>
          <w:sz w:val="24"/>
          <w:szCs w:val="24"/>
        </w:rPr>
      </w:pPr>
    </w:p>
    <w:p w14:paraId="5045E227" w14:textId="23658DCB" w:rsidR="007F4813" w:rsidRPr="00812AD6" w:rsidRDefault="007F4813" w:rsidP="001F34EC">
      <w:pPr>
        <w:pStyle w:val="ListParagraph"/>
        <w:numPr>
          <w:ilvl w:val="0"/>
          <w:numId w:val="14"/>
        </w:numPr>
        <w:ind w:left="851" w:hanging="491"/>
        <w:rPr>
          <w:noProof/>
          <w:sz w:val="24"/>
          <w:szCs w:val="24"/>
        </w:rPr>
      </w:pPr>
      <w:r>
        <w:rPr>
          <w:noProof/>
          <w:sz w:val="24"/>
          <w:szCs w:val="24"/>
        </w:rPr>
        <w:t>For some IQAs it may be agreed that f</w:t>
      </w:r>
      <w:r w:rsidRPr="00812AD6">
        <w:rPr>
          <w:noProof/>
          <w:sz w:val="24"/>
          <w:szCs w:val="24"/>
        </w:rPr>
        <w:t xml:space="preserve">aculties or departments </w:t>
      </w:r>
      <w:r w:rsidR="001F34EC">
        <w:rPr>
          <w:noProof/>
          <w:sz w:val="24"/>
          <w:szCs w:val="24"/>
        </w:rPr>
        <w:t>should</w:t>
      </w:r>
      <w:r w:rsidRPr="00812AD6">
        <w:rPr>
          <w:noProof/>
          <w:sz w:val="24"/>
          <w:szCs w:val="24"/>
        </w:rPr>
        <w:t xml:space="preserve"> submit a contextual document</w:t>
      </w:r>
      <w:r w:rsidR="001F34EC">
        <w:rPr>
          <w:noProof/>
          <w:sz w:val="24"/>
          <w:szCs w:val="24"/>
        </w:rPr>
        <w:t xml:space="preserve"> for consideration by the IQA panel.</w:t>
      </w:r>
      <w:r w:rsidRPr="00812AD6">
        <w:rPr>
          <w:noProof/>
          <w:sz w:val="24"/>
          <w:szCs w:val="24"/>
        </w:rPr>
        <w:t xml:space="preserve"> Although there is no set format for the contextual document, faculties</w:t>
      </w:r>
      <w:r w:rsidR="001F34EC">
        <w:rPr>
          <w:noProof/>
          <w:sz w:val="24"/>
          <w:szCs w:val="24"/>
        </w:rPr>
        <w:t>/departments</w:t>
      </w:r>
      <w:r w:rsidRPr="00812AD6">
        <w:rPr>
          <w:noProof/>
          <w:sz w:val="24"/>
          <w:szCs w:val="24"/>
        </w:rPr>
        <w:t xml:space="preserve"> may like to consider the guidelines outlined below when producing this document.</w:t>
      </w:r>
    </w:p>
    <w:p w14:paraId="2401D53A" w14:textId="77777777" w:rsidR="007F4813" w:rsidRPr="00812AD6" w:rsidRDefault="007F4813" w:rsidP="007F4813">
      <w:pPr>
        <w:pStyle w:val="ListParagraph"/>
        <w:rPr>
          <w:noProof/>
          <w:sz w:val="24"/>
          <w:szCs w:val="24"/>
        </w:rPr>
      </w:pPr>
    </w:p>
    <w:p w14:paraId="755DCA7D" w14:textId="77777777" w:rsidR="007F4813" w:rsidRPr="00812AD6" w:rsidRDefault="007F4813" w:rsidP="001F34EC">
      <w:pPr>
        <w:pStyle w:val="ListParagraph"/>
        <w:numPr>
          <w:ilvl w:val="0"/>
          <w:numId w:val="14"/>
        </w:numPr>
        <w:ind w:left="851" w:hanging="491"/>
        <w:rPr>
          <w:noProof/>
          <w:sz w:val="24"/>
          <w:szCs w:val="24"/>
        </w:rPr>
      </w:pPr>
      <w:r w:rsidRPr="00812AD6">
        <w:rPr>
          <w:noProof/>
          <w:sz w:val="24"/>
          <w:szCs w:val="24"/>
        </w:rPr>
        <w:t>Contextual documents should:</w:t>
      </w:r>
    </w:p>
    <w:p w14:paraId="2A2E14FF" w14:textId="53C78F96" w:rsidR="007F4813" w:rsidRPr="005D3034" w:rsidRDefault="00A9009E" w:rsidP="007F4813">
      <w:pPr>
        <w:pStyle w:val="ListParagraph"/>
        <w:numPr>
          <w:ilvl w:val="0"/>
          <w:numId w:val="9"/>
        </w:numPr>
        <w:rPr>
          <w:sz w:val="24"/>
          <w:szCs w:val="24"/>
        </w:rPr>
      </w:pPr>
      <w:proofErr w:type="gramStart"/>
      <w:r>
        <w:rPr>
          <w:sz w:val="24"/>
          <w:szCs w:val="24"/>
        </w:rPr>
        <w:lastRenderedPageBreak/>
        <w:t>t</w:t>
      </w:r>
      <w:r w:rsidR="007F4813" w:rsidRPr="005D3034">
        <w:rPr>
          <w:sz w:val="24"/>
          <w:szCs w:val="24"/>
        </w:rPr>
        <w:t>ypically</w:t>
      </w:r>
      <w:proofErr w:type="gramEnd"/>
      <w:r w:rsidR="007F4813" w:rsidRPr="005D3034">
        <w:rPr>
          <w:sz w:val="24"/>
          <w:szCs w:val="24"/>
        </w:rPr>
        <w:t xml:space="preserve"> be no more than four </w:t>
      </w:r>
      <w:proofErr w:type="spellStart"/>
      <w:r w:rsidR="007F4813" w:rsidRPr="005D3034">
        <w:rPr>
          <w:sz w:val="24"/>
          <w:szCs w:val="24"/>
        </w:rPr>
        <w:t>A4</w:t>
      </w:r>
      <w:proofErr w:type="spellEnd"/>
      <w:r w:rsidR="007F4813" w:rsidRPr="005D3034">
        <w:rPr>
          <w:sz w:val="24"/>
          <w:szCs w:val="24"/>
        </w:rPr>
        <w:t xml:space="preserve"> sides in length </w:t>
      </w:r>
    </w:p>
    <w:p w14:paraId="44E85094" w14:textId="29DC5558" w:rsidR="007F4813" w:rsidRPr="005D3034" w:rsidRDefault="007F4813" w:rsidP="007F4813">
      <w:pPr>
        <w:pStyle w:val="ListParagraph"/>
        <w:numPr>
          <w:ilvl w:val="0"/>
          <w:numId w:val="9"/>
        </w:numPr>
        <w:rPr>
          <w:sz w:val="24"/>
          <w:szCs w:val="24"/>
        </w:rPr>
      </w:pPr>
      <w:r w:rsidRPr="005D3034">
        <w:rPr>
          <w:sz w:val="24"/>
          <w:szCs w:val="24"/>
        </w:rPr>
        <w:t>introduce and explain the processes in place within the faculty/dep</w:t>
      </w:r>
      <w:r w:rsidR="001F34EC">
        <w:rPr>
          <w:sz w:val="24"/>
          <w:szCs w:val="24"/>
        </w:rPr>
        <w:t>ar</w:t>
      </w:r>
      <w:r w:rsidRPr="005D3034">
        <w:rPr>
          <w:sz w:val="24"/>
          <w:szCs w:val="24"/>
        </w:rPr>
        <w:t>t</w:t>
      </w:r>
      <w:r w:rsidR="001F34EC">
        <w:rPr>
          <w:sz w:val="24"/>
          <w:szCs w:val="24"/>
        </w:rPr>
        <w:t>ment</w:t>
      </w:r>
      <w:r w:rsidRPr="005D3034">
        <w:rPr>
          <w:sz w:val="24"/>
          <w:szCs w:val="24"/>
        </w:rPr>
        <w:t xml:space="preserve"> for the process/</w:t>
      </w:r>
      <w:proofErr w:type="gramStart"/>
      <w:r w:rsidRPr="005D3034">
        <w:rPr>
          <w:sz w:val="24"/>
          <w:szCs w:val="24"/>
        </w:rPr>
        <w:t>area</w:t>
      </w:r>
      <w:proofErr w:type="gramEnd"/>
      <w:r w:rsidRPr="005D3034">
        <w:rPr>
          <w:sz w:val="24"/>
          <w:szCs w:val="24"/>
        </w:rPr>
        <w:t xml:space="preserve"> which is being reviewed, in the context of University procedures</w:t>
      </w:r>
    </w:p>
    <w:p w14:paraId="1F6824B8" w14:textId="53435447" w:rsidR="007F4813" w:rsidRPr="005D3034" w:rsidRDefault="007F4813" w:rsidP="007F4813">
      <w:pPr>
        <w:pStyle w:val="ListParagraph"/>
        <w:numPr>
          <w:ilvl w:val="0"/>
          <w:numId w:val="9"/>
        </w:numPr>
        <w:rPr>
          <w:sz w:val="24"/>
          <w:szCs w:val="24"/>
        </w:rPr>
      </w:pPr>
      <w:r w:rsidRPr="005D3034">
        <w:rPr>
          <w:sz w:val="24"/>
          <w:szCs w:val="24"/>
        </w:rPr>
        <w:t xml:space="preserve">introduce and explain the layout of the </w:t>
      </w:r>
      <w:r w:rsidR="00BC234B">
        <w:rPr>
          <w:sz w:val="24"/>
          <w:szCs w:val="24"/>
        </w:rPr>
        <w:t>evidence</w:t>
      </w:r>
      <w:r w:rsidRPr="005D3034">
        <w:rPr>
          <w:sz w:val="24"/>
          <w:szCs w:val="24"/>
        </w:rPr>
        <w:t xml:space="preserve"> which will be provided in the base</w:t>
      </w:r>
      <w:r>
        <w:rPr>
          <w:sz w:val="24"/>
          <w:szCs w:val="24"/>
        </w:rPr>
        <w:t xml:space="preserve"> </w:t>
      </w:r>
      <w:proofErr w:type="gramStart"/>
      <w:r w:rsidRPr="005D3034">
        <w:rPr>
          <w:sz w:val="24"/>
          <w:szCs w:val="24"/>
        </w:rPr>
        <w:t>room</w:t>
      </w:r>
      <w:proofErr w:type="gramEnd"/>
    </w:p>
    <w:p w14:paraId="79557058" w14:textId="4FA8458A" w:rsidR="007F4813" w:rsidRPr="005D3034" w:rsidRDefault="007F4813" w:rsidP="007F4813">
      <w:pPr>
        <w:pStyle w:val="ListParagraph"/>
        <w:numPr>
          <w:ilvl w:val="0"/>
          <w:numId w:val="9"/>
        </w:numPr>
        <w:rPr>
          <w:sz w:val="24"/>
          <w:szCs w:val="24"/>
        </w:rPr>
      </w:pPr>
      <w:r w:rsidRPr="005D3034">
        <w:rPr>
          <w:sz w:val="24"/>
          <w:szCs w:val="24"/>
        </w:rPr>
        <w:t xml:space="preserve">update the panel on progress made against recommendations </w:t>
      </w:r>
      <w:r w:rsidR="00E21CAC">
        <w:rPr>
          <w:sz w:val="24"/>
          <w:szCs w:val="24"/>
        </w:rPr>
        <w:t>agreed</w:t>
      </w:r>
      <w:r w:rsidRPr="005D3034">
        <w:rPr>
          <w:sz w:val="24"/>
          <w:szCs w:val="24"/>
        </w:rPr>
        <w:t xml:space="preserve"> during last IQA (where applicable)</w:t>
      </w:r>
    </w:p>
    <w:p w14:paraId="5DC3E770" w14:textId="6F029E2D" w:rsidR="007F4813" w:rsidRPr="005D3034" w:rsidRDefault="007F4813" w:rsidP="007F4813">
      <w:pPr>
        <w:pStyle w:val="ListParagraph"/>
        <w:numPr>
          <w:ilvl w:val="0"/>
          <w:numId w:val="9"/>
        </w:numPr>
        <w:rPr>
          <w:sz w:val="24"/>
          <w:szCs w:val="24"/>
        </w:rPr>
      </w:pPr>
      <w:r w:rsidRPr="005D3034">
        <w:rPr>
          <w:sz w:val="24"/>
          <w:szCs w:val="24"/>
        </w:rPr>
        <w:t xml:space="preserve">make specific reference to any processes in place to deal with collaborative provision covered within the scope of the </w:t>
      </w:r>
      <w:proofErr w:type="gramStart"/>
      <w:r w:rsidRPr="005D3034">
        <w:rPr>
          <w:sz w:val="24"/>
          <w:szCs w:val="24"/>
        </w:rPr>
        <w:t>IQA</w:t>
      </w:r>
      <w:proofErr w:type="gramEnd"/>
    </w:p>
    <w:p w14:paraId="3F929D1D" w14:textId="527B1018" w:rsidR="007F4813" w:rsidRPr="005D3034" w:rsidRDefault="007F4813" w:rsidP="007F4813">
      <w:pPr>
        <w:pStyle w:val="ListParagraph"/>
        <w:numPr>
          <w:ilvl w:val="0"/>
          <w:numId w:val="9"/>
        </w:numPr>
        <w:rPr>
          <w:sz w:val="24"/>
          <w:szCs w:val="24"/>
        </w:rPr>
      </w:pPr>
      <w:r w:rsidRPr="005D3034">
        <w:rPr>
          <w:sz w:val="24"/>
          <w:szCs w:val="24"/>
        </w:rPr>
        <w:t xml:space="preserve">highlight any strengths or weaknesses with the current </w:t>
      </w:r>
      <w:proofErr w:type="gramStart"/>
      <w:r w:rsidRPr="005D3034">
        <w:rPr>
          <w:sz w:val="24"/>
          <w:szCs w:val="24"/>
        </w:rPr>
        <w:t>process</w:t>
      </w:r>
      <w:proofErr w:type="gramEnd"/>
    </w:p>
    <w:p w14:paraId="76A22AD0" w14:textId="56254A59" w:rsidR="007F4813" w:rsidRPr="005D3034" w:rsidRDefault="007F4813" w:rsidP="007F4813">
      <w:pPr>
        <w:pStyle w:val="ListParagraph"/>
        <w:numPr>
          <w:ilvl w:val="0"/>
          <w:numId w:val="9"/>
        </w:numPr>
        <w:rPr>
          <w:sz w:val="24"/>
          <w:szCs w:val="24"/>
        </w:rPr>
      </w:pPr>
      <w:r w:rsidRPr="005D3034">
        <w:rPr>
          <w:sz w:val="24"/>
          <w:szCs w:val="24"/>
        </w:rPr>
        <w:t xml:space="preserve">highlight any developmental or </w:t>
      </w:r>
      <w:r w:rsidR="002841C8" w:rsidRPr="005D3034">
        <w:rPr>
          <w:sz w:val="24"/>
          <w:szCs w:val="24"/>
        </w:rPr>
        <w:t>forward-looking</w:t>
      </w:r>
      <w:r w:rsidRPr="005D3034">
        <w:rPr>
          <w:sz w:val="24"/>
          <w:szCs w:val="24"/>
        </w:rPr>
        <w:t xml:space="preserve"> areas, either within the faculty or University</w:t>
      </w:r>
      <w:r w:rsidR="00566727">
        <w:rPr>
          <w:sz w:val="24"/>
          <w:szCs w:val="24"/>
        </w:rPr>
        <w:t>.</w:t>
      </w:r>
    </w:p>
    <w:p w14:paraId="30C66DBE" w14:textId="77777777" w:rsidR="00A9026E" w:rsidRDefault="00A9026E" w:rsidP="00A9026E">
      <w:pPr>
        <w:pStyle w:val="ListParagraph"/>
        <w:rPr>
          <w:noProof/>
          <w:sz w:val="24"/>
          <w:szCs w:val="24"/>
        </w:rPr>
      </w:pPr>
    </w:p>
    <w:p w14:paraId="0F635391" w14:textId="57AA9D6A" w:rsidR="00A9009E" w:rsidRDefault="00A9009E" w:rsidP="004353EA">
      <w:pPr>
        <w:pStyle w:val="Heading3"/>
        <w:rPr>
          <w:noProof/>
        </w:rPr>
      </w:pPr>
      <w:bookmarkStart w:id="21" w:name="_Toc203123040"/>
      <w:r w:rsidRPr="00361DEB">
        <w:rPr>
          <w:noProof/>
        </w:rPr>
        <w:t>Main IQA event</w:t>
      </w:r>
      <w:bookmarkEnd w:id="21"/>
    </w:p>
    <w:p w14:paraId="59856DB9" w14:textId="77777777" w:rsidR="004C6C6C" w:rsidRPr="004C6C6C" w:rsidRDefault="004C6C6C" w:rsidP="004C6C6C"/>
    <w:p w14:paraId="651F466C" w14:textId="77777777" w:rsidR="00A9009E" w:rsidRPr="00B46369" w:rsidRDefault="00A9009E" w:rsidP="00A9009E">
      <w:pPr>
        <w:pStyle w:val="ListParagraph"/>
        <w:numPr>
          <w:ilvl w:val="0"/>
          <w:numId w:val="14"/>
        </w:numPr>
        <w:ind w:left="426" w:hanging="426"/>
        <w:rPr>
          <w:noProof/>
          <w:sz w:val="24"/>
          <w:szCs w:val="24"/>
        </w:rPr>
      </w:pPr>
      <w:r w:rsidRPr="00B46369">
        <w:rPr>
          <w:noProof/>
          <w:sz w:val="24"/>
          <w:szCs w:val="24"/>
        </w:rPr>
        <w:t xml:space="preserve">The focus of the main IQA event is to review the ongoing effectiveness of current procedures, with a focus on enhancement, improvement and dissemination of good practice or to identify problems and issues and to suggest possible solutions.  It is not the role of IQA to apportion blame for any problem being investigated.  </w:t>
      </w:r>
    </w:p>
    <w:p w14:paraId="7BDD8F7F" w14:textId="77777777" w:rsidR="00A9009E" w:rsidRPr="00B46369" w:rsidRDefault="00A9009E" w:rsidP="00A9009E">
      <w:pPr>
        <w:pStyle w:val="ListParagraph"/>
        <w:rPr>
          <w:noProof/>
          <w:sz w:val="24"/>
          <w:szCs w:val="24"/>
        </w:rPr>
      </w:pPr>
    </w:p>
    <w:p w14:paraId="7DD6FB69" w14:textId="77777777" w:rsidR="00A9009E" w:rsidRPr="00B46369" w:rsidRDefault="00A9009E" w:rsidP="00A9009E">
      <w:pPr>
        <w:pStyle w:val="ListParagraph"/>
        <w:numPr>
          <w:ilvl w:val="0"/>
          <w:numId w:val="14"/>
        </w:numPr>
        <w:ind w:left="426" w:hanging="426"/>
        <w:rPr>
          <w:noProof/>
          <w:sz w:val="24"/>
          <w:szCs w:val="24"/>
        </w:rPr>
      </w:pPr>
      <w:r w:rsidRPr="00B46369">
        <w:rPr>
          <w:noProof/>
          <w:sz w:val="24"/>
          <w:szCs w:val="24"/>
        </w:rPr>
        <w:t>The event is likely to be organised over either one or two days, depending on the amount of documentation to be reviewed, and will include a short meeting between the panel and key faculty/departmental staff (where appropriate).</w:t>
      </w:r>
    </w:p>
    <w:p w14:paraId="357F530A" w14:textId="77777777" w:rsidR="00A9026E" w:rsidRDefault="00A9026E" w:rsidP="00A9026E">
      <w:pPr>
        <w:pStyle w:val="ListParagraph"/>
        <w:rPr>
          <w:noProof/>
          <w:sz w:val="24"/>
          <w:szCs w:val="24"/>
        </w:rPr>
      </w:pPr>
    </w:p>
    <w:p w14:paraId="7B0E5693" w14:textId="77777777" w:rsidR="00A9009E" w:rsidRPr="00AF3E20" w:rsidRDefault="00A9009E" w:rsidP="00A9009E">
      <w:pPr>
        <w:pStyle w:val="Heading3"/>
      </w:pPr>
      <w:bookmarkStart w:id="22" w:name="_Toc203123041"/>
      <w:r w:rsidRPr="00AF3E20">
        <w:t>Internal Quality Audit</w:t>
      </w:r>
      <w:r w:rsidRPr="00AF3E20">
        <w:fldChar w:fldCharType="begin"/>
      </w:r>
      <w:r w:rsidRPr="00AF3E20">
        <w:instrText xml:space="preserve"> XE "Internal Quality Audit:IQA" </w:instrText>
      </w:r>
      <w:r w:rsidRPr="00AF3E20">
        <w:fldChar w:fldCharType="end"/>
      </w:r>
      <w:r w:rsidRPr="00AF3E20">
        <w:t xml:space="preserve"> Reports</w:t>
      </w:r>
      <w:bookmarkEnd w:id="22"/>
    </w:p>
    <w:p w14:paraId="701C3BC9" w14:textId="77777777" w:rsidR="00A9009E" w:rsidRPr="00A9009E" w:rsidRDefault="00A9009E" w:rsidP="00A9009E">
      <w:pPr>
        <w:pStyle w:val="ListParagraph"/>
        <w:rPr>
          <w:noProof/>
          <w:sz w:val="24"/>
          <w:szCs w:val="24"/>
        </w:rPr>
      </w:pPr>
    </w:p>
    <w:p w14:paraId="062E8DED" w14:textId="4BF3671D" w:rsidR="00A9009E" w:rsidRPr="00A9009E" w:rsidRDefault="00A9009E" w:rsidP="00A9009E">
      <w:pPr>
        <w:pStyle w:val="ListParagraph"/>
        <w:numPr>
          <w:ilvl w:val="0"/>
          <w:numId w:val="14"/>
        </w:numPr>
        <w:ind w:left="426" w:hanging="426"/>
        <w:rPr>
          <w:noProof/>
          <w:sz w:val="24"/>
          <w:szCs w:val="24"/>
        </w:rPr>
      </w:pPr>
      <w:r w:rsidRPr="00A9009E">
        <w:rPr>
          <w:noProof/>
          <w:sz w:val="24"/>
          <w:szCs w:val="24"/>
        </w:rPr>
        <w:t>The report of the IQA is written by the QAE</w:t>
      </w:r>
      <w:r>
        <w:rPr>
          <w:noProof/>
          <w:sz w:val="24"/>
          <w:szCs w:val="24"/>
        </w:rPr>
        <w:t xml:space="preserve"> representative</w:t>
      </w:r>
      <w:r w:rsidRPr="00A9009E">
        <w:rPr>
          <w:noProof/>
          <w:sz w:val="24"/>
          <w:szCs w:val="24"/>
        </w:rPr>
        <w:t>. IQA reports are generally brief, comprising a summary of the process, a list of participants, the recommendations made by the audit team to those being audited and recommendations made by the audit team to the University. Reports contain sufficient discursive content to provide the rationale and context for the recommendations. Draft reports are circulated to participants within three working weeks of the IQA, and the agreed report is considered by the EC.</w:t>
      </w:r>
    </w:p>
    <w:p w14:paraId="430772F9" w14:textId="77777777" w:rsidR="00A9009E" w:rsidRPr="00B46369" w:rsidRDefault="00A9009E" w:rsidP="00A9009E">
      <w:pPr>
        <w:pStyle w:val="ListParagraph"/>
        <w:rPr>
          <w:noProof/>
          <w:sz w:val="24"/>
          <w:szCs w:val="24"/>
        </w:rPr>
      </w:pPr>
    </w:p>
    <w:p w14:paraId="0FD284F0" w14:textId="17B05C71" w:rsidR="00A9009E" w:rsidRPr="00B46369" w:rsidRDefault="00A9009E" w:rsidP="00566727">
      <w:pPr>
        <w:pStyle w:val="ListParagraph"/>
        <w:numPr>
          <w:ilvl w:val="0"/>
          <w:numId w:val="14"/>
        </w:numPr>
        <w:ind w:left="426" w:hanging="426"/>
        <w:rPr>
          <w:noProof/>
          <w:sz w:val="24"/>
          <w:szCs w:val="24"/>
        </w:rPr>
      </w:pPr>
      <w:r w:rsidRPr="00B46369">
        <w:rPr>
          <w:noProof/>
          <w:sz w:val="24"/>
          <w:szCs w:val="24"/>
        </w:rPr>
        <w:t>The faculty/department that was subject to the IQA is required to produce a response to the report, normally in the form of an action plan appropriate to the particular audit topic.</w:t>
      </w:r>
      <w:r w:rsidR="00566727">
        <w:rPr>
          <w:noProof/>
          <w:sz w:val="24"/>
          <w:szCs w:val="24"/>
        </w:rPr>
        <w:t xml:space="preserve"> </w:t>
      </w:r>
      <w:r w:rsidRPr="00B46369">
        <w:rPr>
          <w:noProof/>
          <w:sz w:val="24"/>
          <w:szCs w:val="24"/>
        </w:rPr>
        <w:t>This may include proposals for dissemination and reviews of existing procedures.</w:t>
      </w:r>
      <w:r w:rsidR="00566727">
        <w:rPr>
          <w:noProof/>
          <w:sz w:val="24"/>
          <w:szCs w:val="24"/>
        </w:rPr>
        <w:t xml:space="preserve"> </w:t>
      </w:r>
      <w:r w:rsidRPr="00B46369">
        <w:rPr>
          <w:noProof/>
          <w:sz w:val="24"/>
          <w:szCs w:val="24"/>
        </w:rPr>
        <w:t>This will be considered and approved by the EC.</w:t>
      </w:r>
    </w:p>
    <w:p w14:paraId="1A42B3CC" w14:textId="77777777" w:rsidR="00A9009E" w:rsidRPr="00B46369" w:rsidRDefault="00A9009E" w:rsidP="00A9009E">
      <w:pPr>
        <w:pStyle w:val="ListParagraph"/>
        <w:rPr>
          <w:noProof/>
          <w:sz w:val="24"/>
          <w:szCs w:val="24"/>
        </w:rPr>
      </w:pPr>
    </w:p>
    <w:p w14:paraId="0BF84CF7" w14:textId="77777777" w:rsidR="00A9009E" w:rsidRPr="00B46369" w:rsidRDefault="00A9009E" w:rsidP="00566727">
      <w:pPr>
        <w:pStyle w:val="ListParagraph"/>
        <w:numPr>
          <w:ilvl w:val="0"/>
          <w:numId w:val="14"/>
        </w:numPr>
        <w:ind w:left="426" w:hanging="426"/>
        <w:rPr>
          <w:noProof/>
          <w:sz w:val="24"/>
          <w:szCs w:val="24"/>
        </w:rPr>
      </w:pPr>
      <w:r w:rsidRPr="00B46369">
        <w:rPr>
          <w:noProof/>
          <w:sz w:val="24"/>
          <w:szCs w:val="24"/>
        </w:rPr>
        <w:t>Follow-up actions arising from the action plan will be monitored by the EC.</w:t>
      </w:r>
    </w:p>
    <w:p w14:paraId="7E8E1657" w14:textId="77777777" w:rsidR="00A9026E" w:rsidRDefault="00A9026E" w:rsidP="00A9026E">
      <w:pPr>
        <w:pStyle w:val="ListParagraph"/>
        <w:rPr>
          <w:noProof/>
          <w:sz w:val="24"/>
          <w:szCs w:val="24"/>
        </w:rPr>
      </w:pPr>
    </w:p>
    <w:p w14:paraId="002E91A8" w14:textId="77777777" w:rsidR="00A9026E" w:rsidRDefault="00A9026E" w:rsidP="00A9026E">
      <w:pPr>
        <w:pStyle w:val="ListParagraph"/>
        <w:rPr>
          <w:noProof/>
          <w:sz w:val="24"/>
          <w:szCs w:val="24"/>
        </w:rPr>
      </w:pPr>
    </w:p>
    <w:p w14:paraId="49A5FE15" w14:textId="77777777" w:rsidR="00A9026E" w:rsidRDefault="00A9026E" w:rsidP="00A9026E">
      <w:pPr>
        <w:pStyle w:val="ListParagraph"/>
        <w:rPr>
          <w:noProof/>
          <w:sz w:val="24"/>
          <w:szCs w:val="24"/>
        </w:rPr>
      </w:pPr>
    </w:p>
    <w:p w14:paraId="343A2872" w14:textId="77777777" w:rsidR="00A9026E" w:rsidRDefault="00A9026E" w:rsidP="00A9026E">
      <w:pPr>
        <w:pStyle w:val="ListParagraph"/>
        <w:rPr>
          <w:noProof/>
          <w:sz w:val="24"/>
          <w:szCs w:val="24"/>
        </w:rPr>
      </w:pPr>
    </w:p>
    <w:p w14:paraId="3F36BB2A" w14:textId="77777777" w:rsidR="00AA0C42" w:rsidRDefault="00AA0C42" w:rsidP="00B02E72">
      <w:pPr>
        <w:pStyle w:val="Heading3"/>
        <w:rPr>
          <w:noProof/>
        </w:rPr>
      </w:pPr>
    </w:p>
    <w:sectPr w:rsidR="00AA0C42" w:rsidSect="00A55054">
      <w:footerReference w:type="default" r:id="rId12"/>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F74C7" w14:textId="77777777" w:rsidR="00F27082" w:rsidRDefault="00F27082">
      <w:r>
        <w:separator/>
      </w:r>
    </w:p>
  </w:endnote>
  <w:endnote w:type="continuationSeparator" w:id="0">
    <w:p w14:paraId="408F603C" w14:textId="77777777" w:rsidR="00F27082" w:rsidRDefault="00F27082">
      <w:r>
        <w:continuationSeparator/>
      </w:r>
    </w:p>
  </w:endnote>
  <w:endnote w:type="continuationNotice" w:id="1">
    <w:p w14:paraId="58A1EEB5" w14:textId="77777777" w:rsidR="00F27082" w:rsidRDefault="00F270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B1CA" w14:textId="2365A305" w:rsidR="00D52742" w:rsidRPr="00BC3703" w:rsidRDefault="69072BCA" w:rsidP="69072BCA">
    <w:pPr>
      <w:pStyle w:val="Footer"/>
      <w:pBdr>
        <w:top w:val="single" w:sz="4" w:space="1" w:color="auto"/>
      </w:pBdr>
      <w:tabs>
        <w:tab w:val="clear" w:pos="4513"/>
        <w:tab w:val="center" w:pos="4536"/>
        <w:tab w:val="right" w:pos="9072"/>
      </w:tabs>
      <w:rPr>
        <w:rFonts w:cs="Arial"/>
        <w:sz w:val="16"/>
        <w:szCs w:val="16"/>
      </w:rPr>
    </w:pPr>
    <w:proofErr w:type="spellStart"/>
    <w:r w:rsidRPr="69072BCA">
      <w:rPr>
        <w:rFonts w:cs="Arial"/>
        <w:sz w:val="16"/>
        <w:szCs w:val="16"/>
      </w:rPr>
      <w:t>AQSH</w:t>
    </w:r>
    <w:proofErr w:type="spellEnd"/>
    <w:r w:rsidRPr="69072BCA">
      <w:rPr>
        <w:rFonts w:cs="Arial"/>
        <w:sz w:val="16"/>
        <w:szCs w:val="16"/>
      </w:rPr>
      <w:t xml:space="preserve">: Section </w:t>
    </w:r>
    <w:r w:rsidR="00EE0B6F">
      <w:rPr>
        <w:rFonts w:cs="Arial"/>
        <w:sz w:val="16"/>
        <w:szCs w:val="16"/>
      </w:rPr>
      <w:t>F</w:t>
    </w:r>
    <w:r w:rsidR="00B76EB1">
      <w:tab/>
    </w:r>
    <w:r w:rsidRPr="69072BCA">
      <w:rPr>
        <w:sz w:val="16"/>
        <w:szCs w:val="16"/>
      </w:rPr>
      <w:t>202</w:t>
    </w:r>
    <w:r w:rsidR="00035011">
      <w:rPr>
        <w:sz w:val="16"/>
        <w:szCs w:val="16"/>
      </w:rPr>
      <w:t>5</w:t>
    </w:r>
    <w:r w:rsidRPr="69072BCA">
      <w:rPr>
        <w:sz w:val="16"/>
        <w:szCs w:val="16"/>
      </w:rPr>
      <w:t>-2</w:t>
    </w:r>
    <w:r w:rsidR="00035011">
      <w:rPr>
        <w:sz w:val="16"/>
        <w:szCs w:val="16"/>
      </w:rPr>
      <w:t>6</w:t>
    </w:r>
    <w:r w:rsidRPr="69072BCA">
      <w:rPr>
        <w:sz w:val="16"/>
        <w:szCs w:val="16"/>
      </w:rPr>
      <w:t xml:space="preserve">                 </w:t>
    </w:r>
    <w:r w:rsidR="00B76EB1">
      <w:tab/>
    </w:r>
    <w:r w:rsidRPr="69072BCA">
      <w:rPr>
        <w:rFonts w:cs="Arial"/>
        <w:sz w:val="16"/>
        <w:szCs w:val="16"/>
      </w:rPr>
      <w:t xml:space="preserve">Page </w:t>
    </w:r>
    <w:r w:rsidR="00B76EB1" w:rsidRPr="69072BCA">
      <w:rPr>
        <w:rFonts w:cs="Arial"/>
        <w:b/>
        <w:bCs/>
        <w:noProof/>
        <w:sz w:val="16"/>
        <w:szCs w:val="16"/>
      </w:rPr>
      <w:fldChar w:fldCharType="begin"/>
    </w:r>
    <w:r w:rsidR="00B76EB1" w:rsidRPr="69072BCA">
      <w:rPr>
        <w:rFonts w:cs="Arial"/>
        <w:b/>
        <w:bCs/>
        <w:sz w:val="16"/>
        <w:szCs w:val="16"/>
      </w:rPr>
      <w:instrText xml:space="preserve"> PAGE </w:instrText>
    </w:r>
    <w:r w:rsidR="00B76EB1" w:rsidRPr="69072BCA">
      <w:rPr>
        <w:rFonts w:cs="Arial"/>
        <w:b/>
        <w:bCs/>
        <w:sz w:val="16"/>
        <w:szCs w:val="16"/>
      </w:rPr>
      <w:fldChar w:fldCharType="separate"/>
    </w:r>
    <w:r w:rsidRPr="69072BCA">
      <w:rPr>
        <w:rFonts w:cs="Arial"/>
        <w:b/>
        <w:bCs/>
        <w:noProof/>
        <w:sz w:val="16"/>
        <w:szCs w:val="16"/>
      </w:rPr>
      <w:t>1</w:t>
    </w:r>
    <w:r w:rsidR="00B76EB1" w:rsidRPr="69072BCA">
      <w:rPr>
        <w:rFonts w:cs="Arial"/>
        <w:b/>
        <w:bCs/>
        <w:noProof/>
        <w:sz w:val="16"/>
        <w:szCs w:val="16"/>
      </w:rPr>
      <w:fldChar w:fldCharType="end"/>
    </w:r>
    <w:r w:rsidRPr="69072BCA">
      <w:rPr>
        <w:rFonts w:cs="Arial"/>
        <w:sz w:val="16"/>
        <w:szCs w:val="16"/>
      </w:rPr>
      <w:t xml:space="preserve"> of </w:t>
    </w:r>
    <w:r w:rsidR="00B76EB1" w:rsidRPr="69072BCA">
      <w:rPr>
        <w:rFonts w:cs="Arial"/>
        <w:b/>
        <w:bCs/>
        <w:noProof/>
        <w:sz w:val="16"/>
        <w:szCs w:val="16"/>
      </w:rPr>
      <w:fldChar w:fldCharType="begin"/>
    </w:r>
    <w:r w:rsidR="00B76EB1" w:rsidRPr="69072BCA">
      <w:rPr>
        <w:rFonts w:cs="Arial"/>
        <w:b/>
        <w:bCs/>
        <w:sz w:val="16"/>
        <w:szCs w:val="16"/>
      </w:rPr>
      <w:instrText xml:space="preserve"> NUMPAGES  </w:instrText>
    </w:r>
    <w:r w:rsidR="00B76EB1" w:rsidRPr="69072BCA">
      <w:rPr>
        <w:rFonts w:cs="Arial"/>
        <w:b/>
        <w:bCs/>
        <w:sz w:val="16"/>
        <w:szCs w:val="16"/>
      </w:rPr>
      <w:fldChar w:fldCharType="separate"/>
    </w:r>
    <w:r w:rsidRPr="69072BCA">
      <w:rPr>
        <w:rFonts w:cs="Arial"/>
        <w:b/>
        <w:bCs/>
        <w:noProof/>
        <w:sz w:val="16"/>
        <w:szCs w:val="16"/>
      </w:rPr>
      <w:t>6</w:t>
    </w:r>
    <w:r w:rsidR="00B76EB1" w:rsidRPr="69072BCA">
      <w:rPr>
        <w:rFonts w:cs="Arial"/>
        <w:b/>
        <w:bCs/>
        <w:noProof/>
        <w:sz w:val="16"/>
        <w:szCs w:val="16"/>
      </w:rPr>
      <w:fldChar w:fldCharType="end"/>
    </w:r>
  </w:p>
  <w:p w14:paraId="1B264410" w14:textId="77777777" w:rsidR="00D52742" w:rsidRPr="00BC3703" w:rsidRDefault="00D52742">
    <w:pPr>
      <w:pStyle w:val="Footer"/>
      <w:tabs>
        <w:tab w:val="right" w:pos="8931"/>
      </w:tabs>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579F8" w14:textId="77777777" w:rsidR="00F27082" w:rsidRDefault="00F27082">
      <w:r>
        <w:separator/>
      </w:r>
    </w:p>
  </w:footnote>
  <w:footnote w:type="continuationSeparator" w:id="0">
    <w:p w14:paraId="2D4D9C62" w14:textId="77777777" w:rsidR="00F27082" w:rsidRDefault="00F27082">
      <w:r>
        <w:continuationSeparator/>
      </w:r>
    </w:p>
  </w:footnote>
  <w:footnote w:type="continuationNotice" w:id="1">
    <w:p w14:paraId="4793BB25" w14:textId="77777777" w:rsidR="00F27082" w:rsidRDefault="00F270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32A7"/>
    <w:multiLevelType w:val="hybridMultilevel"/>
    <w:tmpl w:val="CF3CB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E693B"/>
    <w:multiLevelType w:val="hybridMultilevel"/>
    <w:tmpl w:val="9E84A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F90865"/>
    <w:multiLevelType w:val="hybridMultilevel"/>
    <w:tmpl w:val="EE9EC036"/>
    <w:lvl w:ilvl="0" w:tplc="8A70526E">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B217CE"/>
    <w:multiLevelType w:val="hybridMultilevel"/>
    <w:tmpl w:val="F946918C"/>
    <w:lvl w:ilvl="0" w:tplc="0809001B">
      <w:start w:val="1"/>
      <w:numFmt w:val="lowerRoman"/>
      <w:lvlText w:val="%1."/>
      <w:lvlJc w:val="right"/>
      <w:pPr>
        <w:ind w:left="720" w:hanging="360"/>
      </w:pPr>
      <w:rPr>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C406FB"/>
    <w:multiLevelType w:val="hybridMultilevel"/>
    <w:tmpl w:val="E8F6DF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64270E"/>
    <w:multiLevelType w:val="hybridMultilevel"/>
    <w:tmpl w:val="233AD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07193E"/>
    <w:multiLevelType w:val="hybridMultilevel"/>
    <w:tmpl w:val="66646DA2"/>
    <w:lvl w:ilvl="0" w:tplc="4D32CAE4">
      <w:start w:val="1"/>
      <w:numFmt w:val="decimal"/>
      <w:lvlText w:val="%1."/>
      <w:lvlJc w:val="left"/>
      <w:pPr>
        <w:ind w:left="502" w:hanging="360"/>
      </w:pPr>
      <w:rPr>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291309EA"/>
    <w:multiLevelType w:val="hybridMultilevel"/>
    <w:tmpl w:val="247888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A671C2"/>
    <w:multiLevelType w:val="hybridMultilevel"/>
    <w:tmpl w:val="A71A4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A47881"/>
    <w:multiLevelType w:val="hybridMultilevel"/>
    <w:tmpl w:val="75583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A02E71"/>
    <w:multiLevelType w:val="hybridMultilevel"/>
    <w:tmpl w:val="C74C65B0"/>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45FA5BBE"/>
    <w:multiLevelType w:val="hybridMultilevel"/>
    <w:tmpl w:val="EE9EC036"/>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4A2C90"/>
    <w:multiLevelType w:val="hybridMultilevel"/>
    <w:tmpl w:val="9C3C487C"/>
    <w:lvl w:ilvl="0" w:tplc="FFFFFFFF">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4A9D3E93"/>
    <w:multiLevelType w:val="hybridMultilevel"/>
    <w:tmpl w:val="8C449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A7782F"/>
    <w:multiLevelType w:val="hybridMultilevel"/>
    <w:tmpl w:val="EBBAC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994463"/>
    <w:multiLevelType w:val="hybridMultilevel"/>
    <w:tmpl w:val="88908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6D65B9"/>
    <w:multiLevelType w:val="hybridMultilevel"/>
    <w:tmpl w:val="5C50ED20"/>
    <w:lvl w:ilvl="0" w:tplc="83CE1874">
      <w:start w:val="1"/>
      <w:numFmt w:val="decimal"/>
      <w:lvlText w:val="%1."/>
      <w:lvlJc w:val="left"/>
      <w:pPr>
        <w:ind w:left="720" w:hanging="360"/>
      </w:pPr>
      <w:rPr>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6D11F1"/>
    <w:multiLevelType w:val="hybridMultilevel"/>
    <w:tmpl w:val="1C926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4327D5"/>
    <w:multiLevelType w:val="hybridMultilevel"/>
    <w:tmpl w:val="C546BA22"/>
    <w:lvl w:ilvl="0" w:tplc="0809001B">
      <w:start w:val="1"/>
      <w:numFmt w:val="lowerRoman"/>
      <w:lvlText w:val="%1."/>
      <w:lvlJc w:val="right"/>
      <w:pPr>
        <w:ind w:left="1003" w:hanging="360"/>
      </w:pPr>
      <w:rPr>
        <w:b w:val="0"/>
        <w:color w:val="auto"/>
        <w:sz w:val="24"/>
        <w:szCs w:val="24"/>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9" w15:restartNumberingAfterBreak="0">
    <w:nsid w:val="76946D64"/>
    <w:multiLevelType w:val="hybridMultilevel"/>
    <w:tmpl w:val="03029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5303959">
    <w:abstractNumId w:val="5"/>
  </w:num>
  <w:num w:numId="2" w16cid:durableId="1242565939">
    <w:abstractNumId w:val="9"/>
  </w:num>
  <w:num w:numId="3" w16cid:durableId="253704803">
    <w:abstractNumId w:val="16"/>
  </w:num>
  <w:num w:numId="4" w16cid:durableId="1031028726">
    <w:abstractNumId w:val="3"/>
  </w:num>
  <w:num w:numId="5" w16cid:durableId="1129857277">
    <w:abstractNumId w:val="17"/>
  </w:num>
  <w:num w:numId="6" w16cid:durableId="562058133">
    <w:abstractNumId w:val="18"/>
  </w:num>
  <w:num w:numId="7" w16cid:durableId="1650596303">
    <w:abstractNumId w:val="19"/>
  </w:num>
  <w:num w:numId="8" w16cid:durableId="1936548949">
    <w:abstractNumId w:val="14"/>
  </w:num>
  <w:num w:numId="9" w16cid:durableId="1781484113">
    <w:abstractNumId w:val="12"/>
  </w:num>
  <w:num w:numId="10" w16cid:durableId="2117480661">
    <w:abstractNumId w:val="6"/>
  </w:num>
  <w:num w:numId="11" w16cid:durableId="866068208">
    <w:abstractNumId w:val="8"/>
  </w:num>
  <w:num w:numId="12" w16cid:durableId="468017654">
    <w:abstractNumId w:val="10"/>
  </w:num>
  <w:num w:numId="13" w16cid:durableId="1530532312">
    <w:abstractNumId w:val="15"/>
  </w:num>
  <w:num w:numId="14" w16cid:durableId="1748262964">
    <w:abstractNumId w:val="2"/>
  </w:num>
  <w:num w:numId="15" w16cid:durableId="1048338388">
    <w:abstractNumId w:val="0"/>
  </w:num>
  <w:num w:numId="16" w16cid:durableId="880164799">
    <w:abstractNumId w:val="1"/>
  </w:num>
  <w:num w:numId="17" w16cid:durableId="681930105">
    <w:abstractNumId w:val="7"/>
  </w:num>
  <w:num w:numId="18" w16cid:durableId="1127091477">
    <w:abstractNumId w:val="13"/>
  </w:num>
  <w:num w:numId="19" w16cid:durableId="971907569">
    <w:abstractNumId w:val="4"/>
  </w:num>
  <w:num w:numId="20" w16cid:durableId="9722944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255"/>
    <w:rsid w:val="00025FE3"/>
    <w:rsid w:val="00035011"/>
    <w:rsid w:val="00047DDA"/>
    <w:rsid w:val="00050AF9"/>
    <w:rsid w:val="00077C70"/>
    <w:rsid w:val="000D3B5C"/>
    <w:rsid w:val="000D5788"/>
    <w:rsid w:val="000E00A5"/>
    <w:rsid w:val="000E3B40"/>
    <w:rsid w:val="000F3791"/>
    <w:rsid w:val="000F78DF"/>
    <w:rsid w:val="00106C6A"/>
    <w:rsid w:val="00107F56"/>
    <w:rsid w:val="00124512"/>
    <w:rsid w:val="00130495"/>
    <w:rsid w:val="001360D6"/>
    <w:rsid w:val="00143E90"/>
    <w:rsid w:val="00147CDE"/>
    <w:rsid w:val="00175D32"/>
    <w:rsid w:val="00186D11"/>
    <w:rsid w:val="001904B5"/>
    <w:rsid w:val="00191E08"/>
    <w:rsid w:val="00197556"/>
    <w:rsid w:val="001A1FBB"/>
    <w:rsid w:val="001C3196"/>
    <w:rsid w:val="001E32ED"/>
    <w:rsid w:val="001F34EC"/>
    <w:rsid w:val="0020397D"/>
    <w:rsid w:val="00223124"/>
    <w:rsid w:val="00223EEC"/>
    <w:rsid w:val="00237D4D"/>
    <w:rsid w:val="00245C77"/>
    <w:rsid w:val="00254202"/>
    <w:rsid w:val="00254CFA"/>
    <w:rsid w:val="00255228"/>
    <w:rsid w:val="002555F6"/>
    <w:rsid w:val="0025564F"/>
    <w:rsid w:val="00263BEF"/>
    <w:rsid w:val="00263E33"/>
    <w:rsid w:val="0026654A"/>
    <w:rsid w:val="002841C8"/>
    <w:rsid w:val="002A451C"/>
    <w:rsid w:val="002B48A9"/>
    <w:rsid w:val="002C4F7A"/>
    <w:rsid w:val="002C5A6A"/>
    <w:rsid w:val="002C69BC"/>
    <w:rsid w:val="002C6B66"/>
    <w:rsid w:val="002E5327"/>
    <w:rsid w:val="002F459C"/>
    <w:rsid w:val="00310FBF"/>
    <w:rsid w:val="00316FB1"/>
    <w:rsid w:val="00325423"/>
    <w:rsid w:val="00351646"/>
    <w:rsid w:val="00352641"/>
    <w:rsid w:val="00361DEB"/>
    <w:rsid w:val="003633DC"/>
    <w:rsid w:val="00371F76"/>
    <w:rsid w:val="00380699"/>
    <w:rsid w:val="003810A3"/>
    <w:rsid w:val="00390B2C"/>
    <w:rsid w:val="003C4ADA"/>
    <w:rsid w:val="003F1105"/>
    <w:rsid w:val="003F3D32"/>
    <w:rsid w:val="004007DD"/>
    <w:rsid w:val="0040740C"/>
    <w:rsid w:val="0040769E"/>
    <w:rsid w:val="00422287"/>
    <w:rsid w:val="0042740E"/>
    <w:rsid w:val="004353EA"/>
    <w:rsid w:val="00436A54"/>
    <w:rsid w:val="00452A2F"/>
    <w:rsid w:val="00455080"/>
    <w:rsid w:val="0047571F"/>
    <w:rsid w:val="004A1512"/>
    <w:rsid w:val="004A5C67"/>
    <w:rsid w:val="004B440B"/>
    <w:rsid w:val="004C6C6C"/>
    <w:rsid w:val="005125D4"/>
    <w:rsid w:val="00522E0A"/>
    <w:rsid w:val="00525B1E"/>
    <w:rsid w:val="00527E0A"/>
    <w:rsid w:val="00532E5B"/>
    <w:rsid w:val="00536CC4"/>
    <w:rsid w:val="00541563"/>
    <w:rsid w:val="00555C57"/>
    <w:rsid w:val="00557C96"/>
    <w:rsid w:val="0056216E"/>
    <w:rsid w:val="00566013"/>
    <w:rsid w:val="00566727"/>
    <w:rsid w:val="00576105"/>
    <w:rsid w:val="005765DC"/>
    <w:rsid w:val="005843E7"/>
    <w:rsid w:val="005B0D61"/>
    <w:rsid w:val="005C5161"/>
    <w:rsid w:val="005D3034"/>
    <w:rsid w:val="005E64EF"/>
    <w:rsid w:val="005F3ADF"/>
    <w:rsid w:val="00603698"/>
    <w:rsid w:val="00605CFE"/>
    <w:rsid w:val="006132BC"/>
    <w:rsid w:val="00624F75"/>
    <w:rsid w:val="00636A90"/>
    <w:rsid w:val="006406E6"/>
    <w:rsid w:val="00647023"/>
    <w:rsid w:val="00660255"/>
    <w:rsid w:val="00661DAA"/>
    <w:rsid w:val="0066697C"/>
    <w:rsid w:val="006A7849"/>
    <w:rsid w:val="006E7583"/>
    <w:rsid w:val="006F2A29"/>
    <w:rsid w:val="006F31B2"/>
    <w:rsid w:val="007145CB"/>
    <w:rsid w:val="007548CF"/>
    <w:rsid w:val="00755652"/>
    <w:rsid w:val="0077424D"/>
    <w:rsid w:val="00774AF8"/>
    <w:rsid w:val="00781E58"/>
    <w:rsid w:val="0078338D"/>
    <w:rsid w:val="00783BA8"/>
    <w:rsid w:val="00792345"/>
    <w:rsid w:val="007C2FFB"/>
    <w:rsid w:val="007D369D"/>
    <w:rsid w:val="007D7B77"/>
    <w:rsid w:val="007E643C"/>
    <w:rsid w:val="007E7BA5"/>
    <w:rsid w:val="007F4813"/>
    <w:rsid w:val="007F75D4"/>
    <w:rsid w:val="007F7ABC"/>
    <w:rsid w:val="008116C0"/>
    <w:rsid w:val="00812AD6"/>
    <w:rsid w:val="0083290B"/>
    <w:rsid w:val="008337C0"/>
    <w:rsid w:val="008362D9"/>
    <w:rsid w:val="00857673"/>
    <w:rsid w:val="00875E21"/>
    <w:rsid w:val="00882309"/>
    <w:rsid w:val="0088521F"/>
    <w:rsid w:val="0089126E"/>
    <w:rsid w:val="008D274F"/>
    <w:rsid w:val="008F6417"/>
    <w:rsid w:val="00911D72"/>
    <w:rsid w:val="009215B3"/>
    <w:rsid w:val="00941D70"/>
    <w:rsid w:val="00951171"/>
    <w:rsid w:val="0095602B"/>
    <w:rsid w:val="0099199D"/>
    <w:rsid w:val="009A36B1"/>
    <w:rsid w:val="009A3AD3"/>
    <w:rsid w:val="009E5388"/>
    <w:rsid w:val="00A242D2"/>
    <w:rsid w:val="00A33495"/>
    <w:rsid w:val="00A365D1"/>
    <w:rsid w:val="00A37EAE"/>
    <w:rsid w:val="00A55054"/>
    <w:rsid w:val="00A80B56"/>
    <w:rsid w:val="00A9009E"/>
    <w:rsid w:val="00A9026E"/>
    <w:rsid w:val="00A96CEE"/>
    <w:rsid w:val="00AA0C42"/>
    <w:rsid w:val="00AB6C3C"/>
    <w:rsid w:val="00AD06BF"/>
    <w:rsid w:val="00AF3E20"/>
    <w:rsid w:val="00AF7728"/>
    <w:rsid w:val="00B02E72"/>
    <w:rsid w:val="00B105DC"/>
    <w:rsid w:val="00B21E92"/>
    <w:rsid w:val="00B378AB"/>
    <w:rsid w:val="00B46369"/>
    <w:rsid w:val="00B656DA"/>
    <w:rsid w:val="00B76EB1"/>
    <w:rsid w:val="00B87C06"/>
    <w:rsid w:val="00B94F71"/>
    <w:rsid w:val="00BA5D84"/>
    <w:rsid w:val="00BB46D5"/>
    <w:rsid w:val="00BC234B"/>
    <w:rsid w:val="00BC3703"/>
    <w:rsid w:val="00BF1521"/>
    <w:rsid w:val="00C02370"/>
    <w:rsid w:val="00C5756E"/>
    <w:rsid w:val="00C64C6E"/>
    <w:rsid w:val="00C65E83"/>
    <w:rsid w:val="00C76271"/>
    <w:rsid w:val="00C82B32"/>
    <w:rsid w:val="00D46FD4"/>
    <w:rsid w:val="00D52742"/>
    <w:rsid w:val="00D64463"/>
    <w:rsid w:val="00D72A83"/>
    <w:rsid w:val="00D85C70"/>
    <w:rsid w:val="00DA19E7"/>
    <w:rsid w:val="00DA2AB7"/>
    <w:rsid w:val="00DB2700"/>
    <w:rsid w:val="00DB65AD"/>
    <w:rsid w:val="00DB68C9"/>
    <w:rsid w:val="00DC6375"/>
    <w:rsid w:val="00DC75AF"/>
    <w:rsid w:val="00DC7E87"/>
    <w:rsid w:val="00DE2DE5"/>
    <w:rsid w:val="00DF57FB"/>
    <w:rsid w:val="00E0497A"/>
    <w:rsid w:val="00E10F7B"/>
    <w:rsid w:val="00E20173"/>
    <w:rsid w:val="00E21CAC"/>
    <w:rsid w:val="00E232F1"/>
    <w:rsid w:val="00E54A8D"/>
    <w:rsid w:val="00E61744"/>
    <w:rsid w:val="00E72D52"/>
    <w:rsid w:val="00E84478"/>
    <w:rsid w:val="00EA6891"/>
    <w:rsid w:val="00EA7B2A"/>
    <w:rsid w:val="00EB1A1C"/>
    <w:rsid w:val="00EC1862"/>
    <w:rsid w:val="00EC4F1D"/>
    <w:rsid w:val="00ED7A54"/>
    <w:rsid w:val="00EE0B6F"/>
    <w:rsid w:val="00EE34CF"/>
    <w:rsid w:val="00EF5C23"/>
    <w:rsid w:val="00F11EB0"/>
    <w:rsid w:val="00F220CF"/>
    <w:rsid w:val="00F27082"/>
    <w:rsid w:val="00F31370"/>
    <w:rsid w:val="00F42EEC"/>
    <w:rsid w:val="00F47E65"/>
    <w:rsid w:val="00F6661A"/>
    <w:rsid w:val="00F80762"/>
    <w:rsid w:val="00F8371F"/>
    <w:rsid w:val="00F904EB"/>
    <w:rsid w:val="00F97AD9"/>
    <w:rsid w:val="00FD18C2"/>
    <w:rsid w:val="00FF03E6"/>
    <w:rsid w:val="69072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AAA73"/>
  <w15:chartTrackingRefBased/>
  <w15:docId w15:val="{C1EE211F-8875-48D8-ADCE-29E52D4B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B2A"/>
    <w:pPr>
      <w:widowControl w:val="0"/>
    </w:pPr>
    <w:rPr>
      <w:rFonts w:ascii="Arial" w:eastAsia="Times New Roman" w:hAnsi="Arial"/>
      <w:snapToGrid w:val="0"/>
      <w:sz w:val="24"/>
      <w:lang w:eastAsia="en-US"/>
    </w:rPr>
  </w:style>
  <w:style w:type="paragraph" w:styleId="Heading1">
    <w:name w:val="heading 1"/>
    <w:basedOn w:val="Normal"/>
    <w:next w:val="Normal"/>
    <w:link w:val="Heading1Char"/>
    <w:uiPriority w:val="9"/>
    <w:qFormat/>
    <w:rsid w:val="002C4F7A"/>
    <w:pPr>
      <w:keepNext/>
      <w:outlineLvl w:val="0"/>
    </w:pPr>
    <w:rPr>
      <w:b/>
      <w:bCs/>
      <w:kern w:val="32"/>
      <w:sz w:val="32"/>
      <w:szCs w:val="32"/>
    </w:rPr>
  </w:style>
  <w:style w:type="paragraph" w:styleId="Heading2">
    <w:name w:val="heading 2"/>
    <w:basedOn w:val="Normal"/>
    <w:next w:val="Normal"/>
    <w:link w:val="Heading2Char"/>
    <w:uiPriority w:val="9"/>
    <w:unhideWhenUsed/>
    <w:qFormat/>
    <w:rsid w:val="002C4F7A"/>
    <w:pPr>
      <w:keepNext/>
      <w:outlineLvl w:val="1"/>
    </w:pPr>
    <w:rPr>
      <w:b/>
      <w:bCs/>
      <w:iCs/>
      <w:sz w:val="28"/>
      <w:szCs w:val="28"/>
    </w:rPr>
  </w:style>
  <w:style w:type="paragraph" w:styleId="Heading3">
    <w:name w:val="heading 3"/>
    <w:basedOn w:val="Normal"/>
    <w:next w:val="Normal"/>
    <w:link w:val="Heading3Char"/>
    <w:uiPriority w:val="9"/>
    <w:unhideWhenUsed/>
    <w:qFormat/>
    <w:rsid w:val="002C4F7A"/>
    <w:pPr>
      <w:keepNext/>
      <w:outlineLvl w:val="2"/>
    </w:pPr>
    <w:rPr>
      <w:b/>
      <w:bCs/>
      <w:sz w:val="26"/>
      <w:szCs w:val="26"/>
    </w:rPr>
  </w:style>
  <w:style w:type="paragraph" w:styleId="Heading4">
    <w:name w:val="heading 4"/>
    <w:basedOn w:val="Normal"/>
    <w:next w:val="Normal"/>
    <w:link w:val="Heading4Char"/>
    <w:uiPriority w:val="9"/>
    <w:unhideWhenUsed/>
    <w:qFormat/>
    <w:rsid w:val="00AF3E20"/>
    <w:pPr>
      <w:keepNext/>
      <w:spacing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255"/>
    <w:pPr>
      <w:tabs>
        <w:tab w:val="center" w:pos="4513"/>
        <w:tab w:val="right" w:pos="9026"/>
      </w:tabs>
    </w:pPr>
    <w:rPr>
      <w:lang w:eastAsia="x-none"/>
    </w:rPr>
  </w:style>
  <w:style w:type="character" w:customStyle="1" w:styleId="HeaderChar">
    <w:name w:val="Header Char"/>
    <w:link w:val="Header"/>
    <w:uiPriority w:val="99"/>
    <w:rsid w:val="00660255"/>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660255"/>
    <w:pPr>
      <w:tabs>
        <w:tab w:val="center" w:pos="4513"/>
        <w:tab w:val="right" w:pos="9026"/>
      </w:tabs>
    </w:pPr>
    <w:rPr>
      <w:lang w:eastAsia="x-none"/>
    </w:rPr>
  </w:style>
  <w:style w:type="character" w:customStyle="1" w:styleId="FooterChar">
    <w:name w:val="Footer Char"/>
    <w:link w:val="Footer"/>
    <w:uiPriority w:val="99"/>
    <w:rsid w:val="00660255"/>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unhideWhenUsed/>
    <w:rsid w:val="00660255"/>
    <w:pPr>
      <w:spacing w:after="120" w:line="480" w:lineRule="auto"/>
      <w:ind w:left="283"/>
    </w:pPr>
    <w:rPr>
      <w:lang w:eastAsia="x-none"/>
    </w:rPr>
  </w:style>
  <w:style w:type="character" w:customStyle="1" w:styleId="BodyTextIndent2Char">
    <w:name w:val="Body Text Indent 2 Char"/>
    <w:link w:val="BodyTextIndent2"/>
    <w:rsid w:val="00660255"/>
    <w:rPr>
      <w:rFonts w:ascii="Times New Roman" w:eastAsia="Times New Roman" w:hAnsi="Times New Roman" w:cs="Times New Roman"/>
      <w:snapToGrid w:val="0"/>
      <w:sz w:val="24"/>
      <w:szCs w:val="20"/>
      <w:lang w:val="en-US"/>
    </w:rPr>
  </w:style>
  <w:style w:type="character" w:styleId="Hyperlink">
    <w:name w:val="Hyperlink"/>
    <w:uiPriority w:val="99"/>
    <w:rsid w:val="00660255"/>
    <w:rPr>
      <w:color w:val="0000FF"/>
      <w:u w:val="single"/>
    </w:rPr>
  </w:style>
  <w:style w:type="paragraph" w:styleId="ListParagraph">
    <w:name w:val="List Paragraph"/>
    <w:basedOn w:val="Normal"/>
    <w:uiPriority w:val="34"/>
    <w:qFormat/>
    <w:rsid w:val="00AF3E20"/>
    <w:pPr>
      <w:widowControl/>
      <w:autoSpaceDE w:val="0"/>
      <w:autoSpaceDN w:val="0"/>
      <w:ind w:left="720"/>
    </w:pPr>
    <w:rPr>
      <w:rFonts w:eastAsia="SimSun"/>
      <w:snapToGrid/>
      <w:sz w:val="22"/>
      <w:szCs w:val="22"/>
      <w:lang w:eastAsia="zh-CN"/>
    </w:rPr>
  </w:style>
  <w:style w:type="character" w:styleId="CommentReference">
    <w:name w:val="annotation reference"/>
    <w:uiPriority w:val="99"/>
    <w:semiHidden/>
    <w:unhideWhenUsed/>
    <w:rsid w:val="00455080"/>
    <w:rPr>
      <w:sz w:val="16"/>
      <w:szCs w:val="16"/>
    </w:rPr>
  </w:style>
  <w:style w:type="paragraph" w:styleId="CommentText">
    <w:name w:val="annotation text"/>
    <w:basedOn w:val="Normal"/>
    <w:link w:val="CommentTextChar"/>
    <w:uiPriority w:val="99"/>
    <w:semiHidden/>
    <w:unhideWhenUsed/>
    <w:rsid w:val="00455080"/>
    <w:rPr>
      <w:sz w:val="20"/>
    </w:rPr>
  </w:style>
  <w:style w:type="character" w:customStyle="1" w:styleId="CommentTextChar">
    <w:name w:val="Comment Text Char"/>
    <w:link w:val="CommentText"/>
    <w:uiPriority w:val="99"/>
    <w:semiHidden/>
    <w:rsid w:val="00455080"/>
    <w:rPr>
      <w:rFonts w:ascii="Times New Roman" w:eastAsia="Times New Roman" w:hAnsi="Times New Roman"/>
      <w:snapToGrid w:val="0"/>
      <w:lang w:val="en-US" w:eastAsia="en-US"/>
    </w:rPr>
  </w:style>
  <w:style w:type="paragraph" w:styleId="CommentSubject">
    <w:name w:val="annotation subject"/>
    <w:basedOn w:val="CommentText"/>
    <w:next w:val="CommentText"/>
    <w:link w:val="CommentSubjectChar"/>
    <w:uiPriority w:val="99"/>
    <w:semiHidden/>
    <w:unhideWhenUsed/>
    <w:rsid w:val="00455080"/>
    <w:rPr>
      <w:b/>
      <w:bCs/>
    </w:rPr>
  </w:style>
  <w:style w:type="character" w:customStyle="1" w:styleId="CommentSubjectChar">
    <w:name w:val="Comment Subject Char"/>
    <w:link w:val="CommentSubject"/>
    <w:uiPriority w:val="99"/>
    <w:semiHidden/>
    <w:rsid w:val="00455080"/>
    <w:rPr>
      <w:rFonts w:ascii="Times New Roman" w:eastAsia="Times New Roman" w:hAnsi="Times New Roman"/>
      <w:b/>
      <w:bCs/>
      <w:snapToGrid w:val="0"/>
      <w:lang w:val="en-US" w:eastAsia="en-US"/>
    </w:rPr>
  </w:style>
  <w:style w:type="paragraph" w:styleId="BalloonText">
    <w:name w:val="Balloon Text"/>
    <w:basedOn w:val="Normal"/>
    <w:link w:val="BalloonTextChar"/>
    <w:uiPriority w:val="99"/>
    <w:semiHidden/>
    <w:unhideWhenUsed/>
    <w:rsid w:val="00455080"/>
    <w:rPr>
      <w:rFonts w:ascii="Tahoma" w:hAnsi="Tahoma" w:cs="Tahoma"/>
      <w:sz w:val="16"/>
      <w:szCs w:val="16"/>
    </w:rPr>
  </w:style>
  <w:style w:type="character" w:customStyle="1" w:styleId="BalloonTextChar">
    <w:name w:val="Balloon Text Char"/>
    <w:link w:val="BalloonText"/>
    <w:uiPriority w:val="99"/>
    <w:semiHidden/>
    <w:rsid w:val="00455080"/>
    <w:rPr>
      <w:rFonts w:ascii="Tahoma" w:eastAsia="Times New Roman" w:hAnsi="Tahoma" w:cs="Tahoma"/>
      <w:snapToGrid w:val="0"/>
      <w:sz w:val="16"/>
      <w:szCs w:val="16"/>
      <w:lang w:val="en-US" w:eastAsia="en-US"/>
    </w:rPr>
  </w:style>
  <w:style w:type="character" w:customStyle="1" w:styleId="Heading2Char">
    <w:name w:val="Heading 2 Char"/>
    <w:link w:val="Heading2"/>
    <w:uiPriority w:val="9"/>
    <w:rsid w:val="002C4F7A"/>
    <w:rPr>
      <w:rFonts w:ascii="Arial" w:eastAsia="Times New Roman" w:hAnsi="Arial"/>
      <w:b/>
      <w:bCs/>
      <w:iCs/>
      <w:snapToGrid w:val="0"/>
      <w:sz w:val="28"/>
      <w:szCs w:val="28"/>
      <w:lang w:eastAsia="en-US"/>
    </w:rPr>
  </w:style>
  <w:style w:type="character" w:customStyle="1" w:styleId="Heading3Char">
    <w:name w:val="Heading 3 Char"/>
    <w:link w:val="Heading3"/>
    <w:uiPriority w:val="9"/>
    <w:rsid w:val="002C4F7A"/>
    <w:rPr>
      <w:rFonts w:ascii="Arial" w:eastAsia="Times New Roman" w:hAnsi="Arial"/>
      <w:b/>
      <w:bCs/>
      <w:snapToGrid w:val="0"/>
      <w:sz w:val="26"/>
      <w:szCs w:val="26"/>
      <w:lang w:eastAsia="en-US"/>
    </w:rPr>
  </w:style>
  <w:style w:type="character" w:customStyle="1" w:styleId="Heading4Char">
    <w:name w:val="Heading 4 Char"/>
    <w:link w:val="Heading4"/>
    <w:uiPriority w:val="9"/>
    <w:rsid w:val="00AF3E20"/>
    <w:rPr>
      <w:rFonts w:ascii="Calibri" w:eastAsia="Times New Roman" w:hAnsi="Calibri" w:cs="Times New Roman"/>
      <w:b/>
      <w:bCs/>
      <w:snapToGrid w:val="0"/>
      <w:sz w:val="28"/>
      <w:szCs w:val="28"/>
      <w:lang w:eastAsia="en-US"/>
    </w:rPr>
  </w:style>
  <w:style w:type="character" w:customStyle="1" w:styleId="Heading1Char">
    <w:name w:val="Heading 1 Char"/>
    <w:link w:val="Heading1"/>
    <w:uiPriority w:val="9"/>
    <w:rsid w:val="002C4F7A"/>
    <w:rPr>
      <w:rFonts w:ascii="Arial" w:eastAsia="Times New Roman" w:hAnsi="Arial"/>
      <w:b/>
      <w:bCs/>
      <w:snapToGrid w:val="0"/>
      <w:kern w:val="32"/>
      <w:sz w:val="32"/>
      <w:szCs w:val="32"/>
      <w:lang w:eastAsia="en-US"/>
    </w:rPr>
  </w:style>
  <w:style w:type="paragraph" w:styleId="TOCHeading">
    <w:name w:val="TOC Heading"/>
    <w:basedOn w:val="Heading1"/>
    <w:next w:val="Normal"/>
    <w:uiPriority w:val="39"/>
    <w:unhideWhenUsed/>
    <w:qFormat/>
    <w:rsid w:val="00AF3E20"/>
    <w:pPr>
      <w:keepLines/>
      <w:widowControl/>
      <w:spacing w:line="259" w:lineRule="auto"/>
      <w:outlineLvl w:val="9"/>
    </w:pPr>
    <w:rPr>
      <w:b w:val="0"/>
      <w:bCs w:val="0"/>
      <w:snapToGrid/>
      <w:color w:val="2F5496"/>
      <w:kern w:val="0"/>
      <w:lang w:eastAsia="en-GB"/>
    </w:rPr>
  </w:style>
  <w:style w:type="paragraph" w:styleId="TOC2">
    <w:name w:val="toc 2"/>
    <w:basedOn w:val="Normal"/>
    <w:next w:val="Normal"/>
    <w:autoRedefine/>
    <w:uiPriority w:val="39"/>
    <w:unhideWhenUsed/>
    <w:rsid w:val="0095602B"/>
    <w:pPr>
      <w:tabs>
        <w:tab w:val="right" w:leader="dot" w:pos="9182"/>
      </w:tabs>
      <w:ind w:left="240"/>
    </w:pPr>
  </w:style>
  <w:style w:type="paragraph" w:styleId="TOC3">
    <w:name w:val="toc 3"/>
    <w:basedOn w:val="Normal"/>
    <w:next w:val="Normal"/>
    <w:autoRedefine/>
    <w:uiPriority w:val="39"/>
    <w:unhideWhenUsed/>
    <w:rsid w:val="00AF3E20"/>
    <w:pPr>
      <w:ind w:left="480"/>
    </w:pPr>
  </w:style>
  <w:style w:type="table" w:styleId="TableGridLight">
    <w:name w:val="Grid Table Light"/>
    <w:basedOn w:val="TableNormal"/>
    <w:uiPriority w:val="40"/>
    <w:rsid w:val="007F75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1">
    <w:name w:val="toc 1"/>
    <w:basedOn w:val="Normal"/>
    <w:next w:val="Normal"/>
    <w:autoRedefine/>
    <w:uiPriority w:val="39"/>
    <w:unhideWhenUsed/>
    <w:rsid w:val="00F42EEC"/>
    <w:pPr>
      <w:spacing w:after="100"/>
    </w:pPr>
  </w:style>
  <w:style w:type="table" w:styleId="TableGrid">
    <w:name w:val="Table Grid"/>
    <w:basedOn w:val="TableNormal"/>
    <w:uiPriority w:val="59"/>
    <w:rsid w:val="009E5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87FD5-6A0C-47D2-95A4-359670DACC72}">
  <ds:schemaRefs>
    <ds:schemaRef ds:uri="http://schemas.microsoft.com/office/2006/metadata/properties"/>
    <ds:schemaRef ds:uri="http://purl.org/dc/elements/1.1/"/>
    <ds:schemaRef ds:uri="http://schemas.microsoft.com/office/infopath/2007/PartnerControls"/>
    <ds:schemaRef ds:uri="http://purl.org/dc/dcmitype/"/>
    <ds:schemaRef ds:uri="http://www.w3.org/XML/1998/namespace"/>
    <ds:schemaRef ds:uri="3949bc56-6107-4a37-a900-858857adfede"/>
    <ds:schemaRef ds:uri="http://schemas.microsoft.com/office/2006/documentManagement/types"/>
    <ds:schemaRef ds:uri="http://schemas.openxmlformats.org/package/2006/metadata/core-properties"/>
    <ds:schemaRef ds:uri="cca6b130-34ce-479a-80ad-5918b2c7d9b9"/>
    <ds:schemaRef ds:uri="http://purl.org/dc/terms/"/>
  </ds:schemaRefs>
</ds:datastoreItem>
</file>

<file path=customXml/itemProps2.xml><?xml version="1.0" encoding="utf-8"?>
<ds:datastoreItem xmlns:ds="http://schemas.openxmlformats.org/officeDocument/2006/customXml" ds:itemID="{A22CC362-0DBD-4407-BF33-114A6F9E3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841561-94C1-4020-AA71-03201DB8125D}">
  <ds:schemaRefs>
    <ds:schemaRef ds:uri="http://schemas.microsoft.com/sharepoint/v3/contenttype/forms"/>
  </ds:schemaRefs>
</ds:datastoreItem>
</file>

<file path=customXml/itemProps4.xml><?xml version="1.0" encoding="utf-8"?>
<ds:datastoreItem xmlns:ds="http://schemas.openxmlformats.org/officeDocument/2006/customXml" ds:itemID="{F54DF23A-9524-4B8F-BFA0-1EBA2DFC1BED}">
  <ds:schemaRefs>
    <ds:schemaRef ds:uri="http://schemas.microsoft.com/office/2006/metadata/longProperties"/>
  </ds:schemaRefs>
</ds:datastoreItem>
</file>

<file path=customXml/itemProps5.xml><?xml version="1.0" encoding="utf-8"?>
<ds:datastoreItem xmlns:ds="http://schemas.openxmlformats.org/officeDocument/2006/customXml" ds:itemID="{0908FA79-8515-44E0-9B6F-66FBE2F3E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1165</Words>
  <Characters>6645</Characters>
  <Application>Microsoft Office Word</Application>
  <DocSecurity>0</DocSecurity>
  <Lines>55</Lines>
  <Paragraphs>15</Paragraphs>
  <ScaleCrop>false</ScaleCrop>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Sarah</dc:creator>
  <cp:keywords/>
  <cp:lastModifiedBy>Firth, Mike</cp:lastModifiedBy>
  <cp:revision>103</cp:revision>
  <cp:lastPrinted>2022-08-09T11:47:00Z</cp:lastPrinted>
  <dcterms:created xsi:type="dcterms:W3CDTF">2022-05-06T12:38:00Z</dcterms:created>
  <dcterms:modified xsi:type="dcterms:W3CDTF">2025-07-11T09:44:00Z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isplay_urn:schemas-microsoft-com:office:office#Editor">
    <vt:lpwstr>Islam, Syed M</vt:lpwstr>
  </property>
  <property fmtid="{D5CDD505-2E9C-101B-9397-08002B2CF9AE}" pid="4" name="Order">
    <vt:lpwstr>1616300.00000000</vt:lpwstr>
  </property>
  <property fmtid="{D5CDD505-2E9C-101B-9397-08002B2CF9AE}" pid="5" name="Document Subject">
    <vt:lpwstr/>
  </property>
  <property fmtid="{D5CDD505-2E9C-101B-9397-08002B2CF9AE}" pid="6" name="display_urn:schemas-microsoft-com:office:office#Author">
    <vt:lpwstr>Williams, Tom</vt:lpwstr>
  </property>
  <property fmtid="{D5CDD505-2E9C-101B-9397-08002B2CF9AE}" pid="7" name="Expiry Date">
    <vt:lpwstr/>
  </property>
  <property fmtid="{D5CDD505-2E9C-101B-9397-08002B2CF9AE}" pid="8" name="Document Type">
    <vt:lpwstr/>
  </property>
  <property fmtid="{D5CDD505-2E9C-101B-9397-08002B2CF9AE}" pid="9" name="Document Authors">
    <vt:lpwstr/>
  </property>
  <property fmtid="{D5CDD505-2E9C-101B-9397-08002B2CF9AE}" pid="10" name="MSIP_Label_3b551598-29da-492a-8b9f-8358cd43dd03_Enabled">
    <vt:lpwstr>True</vt:lpwstr>
  </property>
  <property fmtid="{D5CDD505-2E9C-101B-9397-08002B2CF9AE}" pid="11" name="MSIP_Label_3b551598-29da-492a-8b9f-8358cd43dd03_SiteId">
    <vt:lpwstr>c9ef029c-18cf-4016-86d3-93cf8e94ff94</vt:lpwstr>
  </property>
  <property fmtid="{D5CDD505-2E9C-101B-9397-08002B2CF9AE}" pid="12" name="MSIP_Label_3b551598-29da-492a-8b9f-8358cd43dd03_Owner">
    <vt:lpwstr>KU72685@kingston.ac.uk</vt:lpwstr>
  </property>
  <property fmtid="{D5CDD505-2E9C-101B-9397-08002B2CF9AE}" pid="13" name="MSIP_Label_3b551598-29da-492a-8b9f-8358cd43dd03_SetDate">
    <vt:lpwstr>2022-03-08T11:24:21.8132199Z</vt:lpwstr>
  </property>
  <property fmtid="{D5CDD505-2E9C-101B-9397-08002B2CF9AE}" pid="14" name="MSIP_Label_3b551598-29da-492a-8b9f-8358cd43dd03_Name">
    <vt:lpwstr>General</vt:lpwstr>
  </property>
  <property fmtid="{D5CDD505-2E9C-101B-9397-08002B2CF9AE}" pid="15" name="MSIP_Label_3b551598-29da-492a-8b9f-8358cd43dd03_Application">
    <vt:lpwstr>Microsoft Azure Information Protection</vt:lpwstr>
  </property>
  <property fmtid="{D5CDD505-2E9C-101B-9397-08002B2CF9AE}" pid="16" name="MSIP_Label_3b551598-29da-492a-8b9f-8358cd43dd03_ActionId">
    <vt:lpwstr>d3a5caf1-fea5-4485-9eab-8110ffcce37a</vt:lpwstr>
  </property>
  <property fmtid="{D5CDD505-2E9C-101B-9397-08002B2CF9AE}" pid="17" name="MSIP_Label_3b551598-29da-492a-8b9f-8358cd43dd03_Extended_MSFT_Method">
    <vt:lpwstr>Automatic</vt:lpwstr>
  </property>
  <property fmtid="{D5CDD505-2E9C-101B-9397-08002B2CF9AE}" pid="18" name="Sensitivity">
    <vt:lpwstr>General</vt:lpwstr>
  </property>
  <property fmtid="{D5CDD505-2E9C-101B-9397-08002B2CF9AE}" pid="19" name="ContentTypeId">
    <vt:lpwstr>0x010100AF47C6D639642C4882A310EAFDB93A7F</vt:lpwstr>
  </property>
</Properties>
</file>