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49249339" w:displacedByCustomXml="next"/>
    <w:sdt>
      <w:sdtPr>
        <w:rPr>
          <w:rFonts w:ascii="Arial" w:eastAsia="Times New Roman" w:hAnsi="Arial" w:cs="Times New Roman"/>
          <w:snapToGrid w:val="0"/>
          <w:color w:val="auto"/>
          <w:sz w:val="24"/>
          <w:szCs w:val="20"/>
          <w:lang w:eastAsia="en-US"/>
        </w:rPr>
        <w:id w:val="1807487550"/>
        <w:docPartObj>
          <w:docPartGallery w:val="Table of Contents"/>
          <w:docPartUnique/>
        </w:docPartObj>
      </w:sdtPr>
      <w:sdtEndPr/>
      <w:sdtContent>
        <w:p w14:paraId="7A379F99" w14:textId="5BE30351" w:rsidR="00613D44" w:rsidRDefault="00613D44" w:rsidP="3410FD34">
          <w:pPr>
            <w:pStyle w:val="TOCHeading"/>
            <w:jc w:val="center"/>
            <w:rPr>
              <w:rStyle w:val="Heading1Char"/>
              <w:rFonts w:eastAsiaTheme="majorEastAsia"/>
              <w:color w:val="auto"/>
              <w:lang w:val="en-GB"/>
            </w:rPr>
          </w:pPr>
          <w:r w:rsidRPr="650714C8">
            <w:rPr>
              <w:rStyle w:val="Heading1Char"/>
              <w:rFonts w:eastAsiaTheme="majorEastAsia"/>
              <w:color w:val="auto"/>
            </w:rPr>
            <w:t>Introduction</w:t>
          </w:r>
          <w:r w:rsidR="00D80405" w:rsidRPr="650714C8">
            <w:rPr>
              <w:rStyle w:val="Heading1Char"/>
              <w:rFonts w:eastAsiaTheme="majorEastAsia"/>
              <w:color w:val="auto"/>
              <w:lang w:val="en-GB"/>
            </w:rPr>
            <w:t xml:space="preserve"> to the A</w:t>
          </w:r>
          <w:r w:rsidR="000875AD" w:rsidRPr="650714C8">
            <w:rPr>
              <w:rStyle w:val="Heading1Char"/>
              <w:rFonts w:eastAsiaTheme="majorEastAsia"/>
              <w:color w:val="auto"/>
              <w:lang w:val="en-GB"/>
            </w:rPr>
            <w:t xml:space="preserve">cademic </w:t>
          </w:r>
          <w:r w:rsidR="00D80405" w:rsidRPr="650714C8">
            <w:rPr>
              <w:rStyle w:val="Heading1Char"/>
              <w:rFonts w:eastAsiaTheme="majorEastAsia"/>
              <w:color w:val="auto"/>
              <w:lang w:val="en-GB"/>
            </w:rPr>
            <w:t>Q</w:t>
          </w:r>
          <w:r w:rsidR="000875AD" w:rsidRPr="650714C8">
            <w:rPr>
              <w:rStyle w:val="Heading1Char"/>
              <w:rFonts w:eastAsiaTheme="majorEastAsia"/>
              <w:color w:val="auto"/>
              <w:lang w:val="en-GB"/>
            </w:rPr>
            <w:t xml:space="preserve">uality and </w:t>
          </w:r>
          <w:r w:rsidR="00D80405" w:rsidRPr="650714C8">
            <w:rPr>
              <w:rStyle w:val="Heading1Char"/>
              <w:rFonts w:eastAsiaTheme="majorEastAsia"/>
              <w:color w:val="auto"/>
              <w:lang w:val="en-GB"/>
            </w:rPr>
            <w:t>S</w:t>
          </w:r>
          <w:r w:rsidR="000875AD" w:rsidRPr="650714C8">
            <w:rPr>
              <w:rStyle w:val="Heading1Char"/>
              <w:rFonts w:eastAsiaTheme="majorEastAsia"/>
              <w:color w:val="auto"/>
              <w:lang w:val="en-GB"/>
            </w:rPr>
            <w:t xml:space="preserve">tandards </w:t>
          </w:r>
          <w:r w:rsidR="00D80405" w:rsidRPr="650714C8">
            <w:rPr>
              <w:rStyle w:val="Heading1Char"/>
              <w:rFonts w:eastAsiaTheme="majorEastAsia"/>
              <w:color w:val="auto"/>
              <w:lang w:val="en-GB"/>
            </w:rPr>
            <w:t>H</w:t>
          </w:r>
          <w:r w:rsidR="000875AD" w:rsidRPr="650714C8">
            <w:rPr>
              <w:rStyle w:val="Heading1Char"/>
              <w:rFonts w:eastAsiaTheme="majorEastAsia"/>
              <w:color w:val="auto"/>
              <w:lang w:val="en-GB"/>
            </w:rPr>
            <w:t>andbook</w:t>
          </w:r>
          <w:bookmarkEnd w:id="0"/>
        </w:p>
        <w:p w14:paraId="67336629" w14:textId="77777777" w:rsidR="009957F2" w:rsidRPr="009957F2" w:rsidRDefault="009957F2" w:rsidP="3410FD34">
          <w:pPr>
            <w:rPr>
              <w:rFonts w:eastAsiaTheme="majorEastAsia"/>
              <w:lang w:eastAsia="en-GB"/>
            </w:rPr>
          </w:pPr>
        </w:p>
        <w:p w14:paraId="5460504A" w14:textId="12A25F88" w:rsidR="00613D44" w:rsidRPr="00613D44" w:rsidRDefault="00613D44" w:rsidP="00B37296">
          <w:pPr>
            <w:pStyle w:val="TOCHeading"/>
            <w:jc w:val="center"/>
            <w:rPr>
              <w:rStyle w:val="Heading2Char"/>
              <w:color w:val="auto"/>
            </w:rPr>
          </w:pPr>
          <w:bookmarkStart w:id="1" w:name="_Toc103245372"/>
          <w:bookmarkStart w:id="2" w:name="_Toc106117471"/>
          <w:bookmarkStart w:id="3" w:name="_Toc118119877"/>
          <w:bookmarkStart w:id="4" w:name="_Toc780722928"/>
          <w:r w:rsidRPr="650714C8">
            <w:rPr>
              <w:rStyle w:val="Heading2Char"/>
              <w:color w:val="auto"/>
            </w:rPr>
            <w:t>Contents</w:t>
          </w:r>
          <w:bookmarkEnd w:id="1"/>
          <w:bookmarkEnd w:id="2"/>
          <w:bookmarkEnd w:id="3"/>
          <w:bookmarkEnd w:id="4"/>
        </w:p>
        <w:p w14:paraId="0C8C28D4" w14:textId="7B010B77" w:rsidR="003A17F3" w:rsidRDefault="3410FD34" w:rsidP="004A456C">
          <w:pPr>
            <w:pStyle w:val="TOC1"/>
            <w:tabs>
              <w:tab w:val="right" w:leader="dot" w:pos="9015"/>
            </w:tabs>
            <w:rPr>
              <w:rStyle w:val="Hyperlink"/>
              <w:noProof/>
              <w:snapToGrid/>
              <w:kern w:val="2"/>
              <w:lang w:eastAsia="en-GB"/>
              <w14:ligatures w14:val="standardContextual"/>
            </w:rPr>
          </w:pPr>
          <w:r>
            <w:fldChar w:fldCharType="begin"/>
          </w:r>
          <w:r w:rsidR="00613D44">
            <w:instrText>TOC \o "1-3" \z \u \h</w:instrText>
          </w:r>
          <w:r>
            <w:fldChar w:fldCharType="separate"/>
          </w:r>
        </w:p>
        <w:p w14:paraId="7806FCF7" w14:textId="7A5FABDD"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467969577">
            <w:r w:rsidR="650714C8" w:rsidRPr="650714C8">
              <w:rPr>
                <w:rStyle w:val="Hyperlink"/>
              </w:rPr>
              <w:t>Guidance Notes</w:t>
            </w:r>
            <w:r w:rsidR="003A17F3">
              <w:tab/>
            </w:r>
            <w:r w:rsidR="003A17F3">
              <w:fldChar w:fldCharType="begin"/>
            </w:r>
            <w:r w:rsidR="003A17F3">
              <w:instrText>PAGEREF _Toc467969577 \h</w:instrText>
            </w:r>
            <w:r w:rsidR="003A17F3">
              <w:fldChar w:fldCharType="separate"/>
            </w:r>
            <w:r w:rsidR="650714C8" w:rsidRPr="650714C8">
              <w:rPr>
                <w:rStyle w:val="Hyperlink"/>
              </w:rPr>
              <w:t>1</w:t>
            </w:r>
            <w:r w:rsidR="003A17F3">
              <w:fldChar w:fldCharType="end"/>
            </w:r>
          </w:hyperlink>
        </w:p>
        <w:p w14:paraId="3F239986" w14:textId="320194D1"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405551371">
            <w:r w:rsidR="650714C8" w:rsidRPr="650714C8">
              <w:rPr>
                <w:rStyle w:val="Hyperlink"/>
              </w:rPr>
              <w:t>Abbreviations in this section</w:t>
            </w:r>
            <w:r w:rsidR="003A17F3">
              <w:tab/>
            </w:r>
            <w:r w:rsidR="003A17F3">
              <w:fldChar w:fldCharType="begin"/>
            </w:r>
            <w:r w:rsidR="003A17F3">
              <w:instrText>PAGEREF _Toc405551371 \h</w:instrText>
            </w:r>
            <w:r w:rsidR="003A17F3">
              <w:fldChar w:fldCharType="separate"/>
            </w:r>
            <w:r w:rsidR="650714C8" w:rsidRPr="650714C8">
              <w:rPr>
                <w:rStyle w:val="Hyperlink"/>
              </w:rPr>
              <w:t>2</w:t>
            </w:r>
            <w:r w:rsidR="003A17F3">
              <w:fldChar w:fldCharType="end"/>
            </w:r>
          </w:hyperlink>
        </w:p>
        <w:p w14:paraId="53C58504" w14:textId="05704648"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1730399823">
            <w:r w:rsidR="650714C8" w:rsidRPr="650714C8">
              <w:rPr>
                <w:rStyle w:val="Hyperlink"/>
              </w:rPr>
              <w:t>Purpose of the Academic Quality and Standards Handbook (AQSH)</w:t>
            </w:r>
            <w:r w:rsidR="003A17F3">
              <w:tab/>
            </w:r>
            <w:r w:rsidR="003A17F3">
              <w:fldChar w:fldCharType="begin"/>
            </w:r>
            <w:r w:rsidR="003A17F3">
              <w:instrText>PAGEREF _Toc1730399823 \h</w:instrText>
            </w:r>
            <w:r w:rsidR="003A17F3">
              <w:fldChar w:fldCharType="separate"/>
            </w:r>
            <w:r w:rsidR="650714C8" w:rsidRPr="650714C8">
              <w:rPr>
                <w:rStyle w:val="Hyperlink"/>
              </w:rPr>
              <w:t>2</w:t>
            </w:r>
            <w:r w:rsidR="003A17F3">
              <w:fldChar w:fldCharType="end"/>
            </w:r>
          </w:hyperlink>
        </w:p>
        <w:p w14:paraId="5B8CD466" w14:textId="48043AAC"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795825944">
            <w:r w:rsidR="650714C8" w:rsidRPr="650714C8">
              <w:rPr>
                <w:rStyle w:val="Hyperlink"/>
              </w:rPr>
              <w:t>Quality Assurance and Enhancement Processes and Structures</w:t>
            </w:r>
            <w:r w:rsidR="003A17F3">
              <w:tab/>
            </w:r>
            <w:r w:rsidR="003A17F3">
              <w:fldChar w:fldCharType="begin"/>
            </w:r>
            <w:r w:rsidR="003A17F3">
              <w:instrText>PAGEREF _Toc795825944 \h</w:instrText>
            </w:r>
            <w:r w:rsidR="003A17F3">
              <w:fldChar w:fldCharType="separate"/>
            </w:r>
            <w:r w:rsidR="650714C8" w:rsidRPr="650714C8">
              <w:rPr>
                <w:rStyle w:val="Hyperlink"/>
              </w:rPr>
              <w:t>2</w:t>
            </w:r>
            <w:r w:rsidR="003A17F3">
              <w:fldChar w:fldCharType="end"/>
            </w:r>
          </w:hyperlink>
        </w:p>
        <w:p w14:paraId="44BD471D" w14:textId="60160A28"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683653162">
            <w:r w:rsidR="650714C8" w:rsidRPr="650714C8">
              <w:rPr>
                <w:rStyle w:val="Hyperlink"/>
              </w:rPr>
              <w:t>The University’s Management Structure</w:t>
            </w:r>
            <w:r w:rsidR="003A17F3">
              <w:tab/>
            </w:r>
            <w:r w:rsidR="003A17F3">
              <w:fldChar w:fldCharType="begin"/>
            </w:r>
            <w:r w:rsidR="003A17F3">
              <w:instrText>PAGEREF _Toc683653162 \h</w:instrText>
            </w:r>
            <w:r w:rsidR="003A17F3">
              <w:fldChar w:fldCharType="separate"/>
            </w:r>
            <w:r w:rsidR="650714C8" w:rsidRPr="650714C8">
              <w:rPr>
                <w:rStyle w:val="Hyperlink"/>
              </w:rPr>
              <w:t>3</w:t>
            </w:r>
            <w:r w:rsidR="003A17F3">
              <w:fldChar w:fldCharType="end"/>
            </w:r>
          </w:hyperlink>
        </w:p>
        <w:p w14:paraId="2C5DF941" w14:textId="3586527D"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528480139">
            <w:r w:rsidR="650714C8" w:rsidRPr="650714C8">
              <w:rPr>
                <w:rStyle w:val="Hyperlink"/>
              </w:rPr>
              <w:t>Academic Council and its sub-committees</w:t>
            </w:r>
            <w:r w:rsidR="003A17F3">
              <w:tab/>
            </w:r>
            <w:r w:rsidR="003A17F3">
              <w:fldChar w:fldCharType="begin"/>
            </w:r>
            <w:r w:rsidR="003A17F3">
              <w:instrText>PAGEREF _Toc528480139 \h</w:instrText>
            </w:r>
            <w:r w:rsidR="003A17F3">
              <w:fldChar w:fldCharType="separate"/>
            </w:r>
            <w:r w:rsidR="650714C8" w:rsidRPr="650714C8">
              <w:rPr>
                <w:rStyle w:val="Hyperlink"/>
              </w:rPr>
              <w:t>3</w:t>
            </w:r>
            <w:r w:rsidR="003A17F3">
              <w:fldChar w:fldCharType="end"/>
            </w:r>
          </w:hyperlink>
        </w:p>
        <w:p w14:paraId="2C3004A9" w14:textId="63BA80A0"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567366119">
            <w:r w:rsidR="650714C8" w:rsidRPr="650714C8">
              <w:rPr>
                <w:rStyle w:val="Hyperlink"/>
              </w:rPr>
              <w:t>Education Committee (EC)</w:t>
            </w:r>
            <w:r w:rsidR="003A17F3">
              <w:tab/>
            </w:r>
            <w:r w:rsidR="003A17F3">
              <w:fldChar w:fldCharType="begin"/>
            </w:r>
            <w:r w:rsidR="003A17F3">
              <w:instrText>PAGEREF _Toc567366119 \h</w:instrText>
            </w:r>
            <w:r w:rsidR="003A17F3">
              <w:fldChar w:fldCharType="separate"/>
            </w:r>
            <w:r w:rsidR="650714C8" w:rsidRPr="650714C8">
              <w:rPr>
                <w:rStyle w:val="Hyperlink"/>
              </w:rPr>
              <w:t>4</w:t>
            </w:r>
            <w:r w:rsidR="003A17F3">
              <w:fldChar w:fldCharType="end"/>
            </w:r>
          </w:hyperlink>
        </w:p>
        <w:p w14:paraId="492F9D43" w14:textId="1D785CEE"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382522291">
            <w:r w:rsidR="650714C8" w:rsidRPr="650714C8">
              <w:rPr>
                <w:rStyle w:val="Hyperlink"/>
              </w:rPr>
              <w:t>Regulatory Framework Committee (RFC)</w:t>
            </w:r>
            <w:r w:rsidR="003A17F3">
              <w:tab/>
            </w:r>
            <w:r w:rsidR="003A17F3">
              <w:fldChar w:fldCharType="begin"/>
            </w:r>
            <w:r w:rsidR="003A17F3">
              <w:instrText>PAGEREF _Toc382522291 \h</w:instrText>
            </w:r>
            <w:r w:rsidR="003A17F3">
              <w:fldChar w:fldCharType="separate"/>
            </w:r>
            <w:r w:rsidR="650714C8" w:rsidRPr="650714C8">
              <w:rPr>
                <w:rStyle w:val="Hyperlink"/>
              </w:rPr>
              <w:t>4</w:t>
            </w:r>
            <w:r w:rsidR="003A17F3">
              <w:fldChar w:fldCharType="end"/>
            </w:r>
          </w:hyperlink>
        </w:p>
        <w:p w14:paraId="42B0F353" w14:textId="0D034E69"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922744157">
            <w:r w:rsidR="650714C8" w:rsidRPr="650714C8">
              <w:rPr>
                <w:rStyle w:val="Hyperlink"/>
              </w:rPr>
              <w:t>Faculty-level committee structures</w:t>
            </w:r>
            <w:r w:rsidR="003A17F3">
              <w:tab/>
            </w:r>
            <w:r w:rsidR="003A17F3">
              <w:fldChar w:fldCharType="begin"/>
            </w:r>
            <w:r w:rsidR="003A17F3">
              <w:instrText>PAGEREF _Toc922744157 \h</w:instrText>
            </w:r>
            <w:r w:rsidR="003A17F3">
              <w:fldChar w:fldCharType="separate"/>
            </w:r>
            <w:r w:rsidR="650714C8" w:rsidRPr="650714C8">
              <w:rPr>
                <w:rStyle w:val="Hyperlink"/>
              </w:rPr>
              <w:t>4</w:t>
            </w:r>
            <w:r w:rsidR="003A17F3">
              <w:fldChar w:fldCharType="end"/>
            </w:r>
          </w:hyperlink>
        </w:p>
        <w:p w14:paraId="197384C8" w14:textId="6A03514D"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451050347">
            <w:r w:rsidR="650714C8" w:rsidRPr="650714C8">
              <w:rPr>
                <w:rStyle w:val="Hyperlink"/>
              </w:rPr>
              <w:t>Course Leaders/Director of Studies</w:t>
            </w:r>
            <w:r w:rsidR="003A17F3">
              <w:tab/>
            </w:r>
            <w:r w:rsidR="003A17F3">
              <w:fldChar w:fldCharType="begin"/>
            </w:r>
            <w:r w:rsidR="003A17F3">
              <w:instrText>PAGEREF _Toc451050347 \h</w:instrText>
            </w:r>
            <w:r w:rsidR="003A17F3">
              <w:fldChar w:fldCharType="separate"/>
            </w:r>
            <w:r w:rsidR="650714C8" w:rsidRPr="650714C8">
              <w:rPr>
                <w:rStyle w:val="Hyperlink"/>
              </w:rPr>
              <w:t>5</w:t>
            </w:r>
            <w:r w:rsidR="003A17F3">
              <w:fldChar w:fldCharType="end"/>
            </w:r>
          </w:hyperlink>
        </w:p>
        <w:p w14:paraId="7FB9A706" w14:textId="6CDA5FFC" w:rsidR="003A17F3" w:rsidRDefault="00DB7DCF" w:rsidP="650714C8">
          <w:pPr>
            <w:pStyle w:val="TOC2"/>
            <w:tabs>
              <w:tab w:val="clear" w:pos="9017"/>
              <w:tab w:val="right" w:leader="dot" w:pos="9015"/>
            </w:tabs>
            <w:rPr>
              <w:rStyle w:val="Hyperlink"/>
              <w:noProof/>
              <w:snapToGrid/>
              <w:kern w:val="2"/>
              <w:lang w:eastAsia="en-GB"/>
              <w14:ligatures w14:val="standardContextual"/>
            </w:rPr>
          </w:pPr>
          <w:hyperlink w:anchor="_Toc18956209">
            <w:r w:rsidR="650714C8" w:rsidRPr="650714C8">
              <w:rPr>
                <w:rStyle w:val="Hyperlink"/>
              </w:rPr>
              <w:t>Management of modules</w:t>
            </w:r>
            <w:r w:rsidR="003A17F3">
              <w:tab/>
            </w:r>
            <w:r w:rsidR="003A17F3">
              <w:fldChar w:fldCharType="begin"/>
            </w:r>
            <w:r w:rsidR="003A17F3">
              <w:instrText>PAGEREF _Toc18956209 \h</w:instrText>
            </w:r>
            <w:r w:rsidR="003A17F3">
              <w:fldChar w:fldCharType="separate"/>
            </w:r>
            <w:r w:rsidR="650714C8" w:rsidRPr="650714C8">
              <w:rPr>
                <w:rStyle w:val="Hyperlink"/>
              </w:rPr>
              <w:t>5</w:t>
            </w:r>
            <w:r w:rsidR="003A17F3">
              <w:fldChar w:fldCharType="end"/>
            </w:r>
          </w:hyperlink>
        </w:p>
        <w:p w14:paraId="06459E23" w14:textId="36EE42CF" w:rsidR="3410FD34" w:rsidRDefault="00DB7DCF" w:rsidP="3410FD34">
          <w:pPr>
            <w:pStyle w:val="TOC2"/>
            <w:tabs>
              <w:tab w:val="clear" w:pos="9017"/>
              <w:tab w:val="right" w:leader="dot" w:pos="9015"/>
            </w:tabs>
            <w:rPr>
              <w:rStyle w:val="Hyperlink"/>
            </w:rPr>
          </w:pPr>
          <w:hyperlink w:anchor="_Toc513843225">
            <w:r w:rsidR="650714C8" w:rsidRPr="650714C8">
              <w:rPr>
                <w:rStyle w:val="Hyperlink"/>
              </w:rPr>
              <w:t>Revisions to the quality and regulatory framework</w:t>
            </w:r>
            <w:r w:rsidR="3410FD34">
              <w:tab/>
            </w:r>
            <w:r w:rsidR="3410FD34">
              <w:fldChar w:fldCharType="begin"/>
            </w:r>
            <w:r w:rsidR="3410FD34">
              <w:instrText>PAGEREF _Toc513843225 \h</w:instrText>
            </w:r>
            <w:r w:rsidR="3410FD34">
              <w:fldChar w:fldCharType="separate"/>
            </w:r>
            <w:r w:rsidR="650714C8" w:rsidRPr="650714C8">
              <w:rPr>
                <w:rStyle w:val="Hyperlink"/>
              </w:rPr>
              <w:t>5</w:t>
            </w:r>
            <w:r w:rsidR="3410FD34">
              <w:fldChar w:fldCharType="end"/>
            </w:r>
          </w:hyperlink>
          <w:r w:rsidR="3410FD34">
            <w:fldChar w:fldCharType="end"/>
          </w:r>
        </w:p>
      </w:sdtContent>
    </w:sdt>
    <w:p w14:paraId="0DF50A8A" w14:textId="10497E21" w:rsidR="00613D44" w:rsidRDefault="00613D44"/>
    <w:p w14:paraId="0497ED73" w14:textId="5C6FEB86" w:rsidR="00144DAB" w:rsidRDefault="00144DAB">
      <w:pPr>
        <w:widowControl/>
        <w:rPr>
          <w:rFonts w:eastAsiaTheme="majorEastAsia" w:cstheme="majorBidi"/>
          <w:b/>
          <w:bCs/>
          <w:iCs/>
          <w:sz w:val="28"/>
          <w:szCs w:val="28"/>
        </w:rPr>
      </w:pPr>
      <w:bookmarkStart w:id="5" w:name="_Toc103245373"/>
      <w:r>
        <w:br w:type="page"/>
      </w:r>
    </w:p>
    <w:p w14:paraId="47FE2F57" w14:textId="6836D3BF" w:rsidR="009957F2" w:rsidRPr="009957F2" w:rsidRDefault="0042042E" w:rsidP="008B7390">
      <w:pPr>
        <w:pStyle w:val="Heading2"/>
      </w:pPr>
      <w:bookmarkStart w:id="6" w:name="_Toc467969577"/>
      <w:r>
        <w:lastRenderedPageBreak/>
        <w:t>Guidance Notes</w:t>
      </w:r>
      <w:bookmarkEnd w:id="5"/>
      <w:bookmarkEnd w:id="6"/>
    </w:p>
    <w:tbl>
      <w:tblPr>
        <w:tblStyle w:val="TableGrid"/>
        <w:tblW w:w="0" w:type="auto"/>
        <w:tblLook w:val="04A0" w:firstRow="1" w:lastRow="0" w:firstColumn="1" w:lastColumn="0" w:noHBand="0" w:noVBand="1"/>
      </w:tblPr>
      <w:tblGrid>
        <w:gridCol w:w="1838"/>
        <w:gridCol w:w="7179"/>
      </w:tblGrid>
      <w:tr w:rsidR="009B5F38" w14:paraId="18468987" w14:textId="77777777" w:rsidTr="00B37296">
        <w:tc>
          <w:tcPr>
            <w:tcW w:w="1838" w:type="dxa"/>
          </w:tcPr>
          <w:p w14:paraId="245DFE93" w14:textId="799C2DC4" w:rsidR="009B5F38" w:rsidRPr="0042042E" w:rsidRDefault="009B5F38" w:rsidP="00B37296">
            <w:pPr>
              <w:rPr>
                <w:rFonts w:cs="Arial"/>
                <w:bCs/>
                <w:szCs w:val="24"/>
                <w:lang w:eastAsia="x-none"/>
              </w:rPr>
            </w:pPr>
            <w:r>
              <w:rPr>
                <w:rFonts w:cs="Arial"/>
                <w:bCs/>
                <w:szCs w:val="24"/>
                <w:lang w:eastAsia="x-none"/>
              </w:rPr>
              <w:t>Guidance (i)</w:t>
            </w:r>
          </w:p>
        </w:tc>
        <w:tc>
          <w:tcPr>
            <w:tcW w:w="7179" w:type="dxa"/>
          </w:tcPr>
          <w:p w14:paraId="44FC25E5" w14:textId="62C777AB" w:rsidR="009B5F38" w:rsidRPr="0042042E" w:rsidRDefault="006F36A5" w:rsidP="00B37296">
            <w:pPr>
              <w:rPr>
                <w:rFonts w:cs="Arial"/>
                <w:bCs/>
                <w:szCs w:val="24"/>
                <w:lang w:eastAsia="x-none"/>
              </w:rPr>
            </w:pPr>
            <w:r w:rsidRPr="006F36A5">
              <w:rPr>
                <w:rFonts w:cs="Arial"/>
                <w:bCs/>
                <w:szCs w:val="24"/>
                <w:lang w:eastAsia="x-none"/>
              </w:rPr>
              <w:t xml:space="preserve">Abbreviations and glossary of terms used in the </w:t>
            </w:r>
            <w:proofErr w:type="spellStart"/>
            <w:r w:rsidRPr="006F36A5">
              <w:rPr>
                <w:rFonts w:cs="Arial"/>
                <w:bCs/>
                <w:szCs w:val="24"/>
                <w:lang w:eastAsia="x-none"/>
              </w:rPr>
              <w:t>AQSH</w:t>
            </w:r>
            <w:proofErr w:type="spellEnd"/>
          </w:p>
        </w:tc>
      </w:tr>
      <w:tr w:rsidR="00B37296" w14:paraId="0F323868" w14:textId="77777777" w:rsidTr="00B37296">
        <w:tc>
          <w:tcPr>
            <w:tcW w:w="1838" w:type="dxa"/>
          </w:tcPr>
          <w:p w14:paraId="13D46100" w14:textId="41B0750C" w:rsidR="00B37296" w:rsidRDefault="00B37296" w:rsidP="00B37296">
            <w:r w:rsidRPr="0042042E">
              <w:rPr>
                <w:rFonts w:cs="Arial"/>
                <w:bCs/>
                <w:szCs w:val="24"/>
                <w:lang w:eastAsia="x-none"/>
              </w:rPr>
              <w:t>Guidance (ii)</w:t>
            </w:r>
          </w:p>
        </w:tc>
        <w:tc>
          <w:tcPr>
            <w:tcW w:w="7179" w:type="dxa"/>
          </w:tcPr>
          <w:p w14:paraId="5599FAAA" w14:textId="16CA2F9B" w:rsidR="00B37296" w:rsidRDefault="00B37296" w:rsidP="00B37296">
            <w:r w:rsidRPr="0042042E">
              <w:rPr>
                <w:rFonts w:cs="Arial"/>
                <w:bCs/>
                <w:szCs w:val="24"/>
                <w:lang w:eastAsia="x-none"/>
              </w:rPr>
              <w:t>Current Fee Levels</w:t>
            </w:r>
          </w:p>
        </w:tc>
      </w:tr>
      <w:tr w:rsidR="00F57DC0" w14:paraId="6F2DF1D7" w14:textId="77777777" w:rsidTr="00B37296">
        <w:tc>
          <w:tcPr>
            <w:tcW w:w="1838" w:type="dxa"/>
          </w:tcPr>
          <w:p w14:paraId="5F3F04BF" w14:textId="75CC6B49" w:rsidR="00F57DC0" w:rsidRPr="0042042E" w:rsidRDefault="00F57DC0" w:rsidP="00B37296">
            <w:pPr>
              <w:rPr>
                <w:rFonts w:cs="Arial"/>
                <w:bCs/>
                <w:szCs w:val="24"/>
                <w:lang w:eastAsia="x-none"/>
              </w:rPr>
            </w:pPr>
            <w:r>
              <w:rPr>
                <w:rFonts w:cs="Arial"/>
                <w:bCs/>
                <w:szCs w:val="24"/>
                <w:lang w:eastAsia="x-none"/>
              </w:rPr>
              <w:t>Guidance (iii)</w:t>
            </w:r>
          </w:p>
        </w:tc>
        <w:tc>
          <w:tcPr>
            <w:tcW w:w="7179" w:type="dxa"/>
          </w:tcPr>
          <w:p w14:paraId="0FA60581" w14:textId="20216365" w:rsidR="00F57DC0" w:rsidRPr="0042042E" w:rsidRDefault="00C86EFB" w:rsidP="00B37296">
            <w:pPr>
              <w:rPr>
                <w:rFonts w:cs="Arial"/>
                <w:bCs/>
                <w:szCs w:val="24"/>
                <w:lang w:eastAsia="x-none"/>
              </w:rPr>
            </w:pPr>
            <w:r w:rsidRPr="00C86EFB">
              <w:rPr>
                <w:rFonts w:cs="Arial"/>
                <w:bCs/>
                <w:szCs w:val="24"/>
                <w:lang w:eastAsia="x-none"/>
              </w:rPr>
              <w:t xml:space="preserve">Town House Strategy - Education </w:t>
            </w:r>
            <w:r w:rsidR="002D06A5">
              <w:rPr>
                <w:rFonts w:cs="Arial"/>
                <w:bCs/>
                <w:szCs w:val="24"/>
                <w:lang w:eastAsia="x-none"/>
              </w:rPr>
              <w:t>Implementation</w:t>
            </w:r>
          </w:p>
        </w:tc>
      </w:tr>
      <w:tr w:rsidR="00F57DC0" w14:paraId="42D0658B" w14:textId="77777777" w:rsidTr="00B37296">
        <w:tc>
          <w:tcPr>
            <w:tcW w:w="1838" w:type="dxa"/>
          </w:tcPr>
          <w:p w14:paraId="635A9B53" w14:textId="36DC2A68" w:rsidR="00F57DC0" w:rsidRPr="0042042E" w:rsidRDefault="00F57DC0" w:rsidP="00B37296">
            <w:pPr>
              <w:rPr>
                <w:rFonts w:cs="Arial"/>
                <w:bCs/>
                <w:szCs w:val="24"/>
                <w:lang w:eastAsia="x-none"/>
              </w:rPr>
            </w:pPr>
            <w:r>
              <w:rPr>
                <w:rFonts w:cs="Arial"/>
                <w:bCs/>
                <w:szCs w:val="24"/>
                <w:lang w:eastAsia="x-none"/>
              </w:rPr>
              <w:t>Guidance (iv)</w:t>
            </w:r>
          </w:p>
        </w:tc>
        <w:tc>
          <w:tcPr>
            <w:tcW w:w="7179" w:type="dxa"/>
          </w:tcPr>
          <w:p w14:paraId="2605AD27" w14:textId="5E6CAC54" w:rsidR="00F57DC0" w:rsidRPr="0042042E" w:rsidRDefault="009B10BA" w:rsidP="00B37296">
            <w:pPr>
              <w:rPr>
                <w:rFonts w:cs="Arial"/>
                <w:bCs/>
                <w:szCs w:val="24"/>
                <w:lang w:eastAsia="x-none"/>
              </w:rPr>
            </w:pPr>
            <w:r w:rsidRPr="009B10BA">
              <w:rPr>
                <w:rFonts w:cs="Arial"/>
                <w:bCs/>
                <w:szCs w:val="24"/>
                <w:lang w:eastAsia="x-none"/>
              </w:rPr>
              <w:t>Town House Strategy - Education Partnerships</w:t>
            </w:r>
          </w:p>
        </w:tc>
      </w:tr>
    </w:tbl>
    <w:p w14:paraId="4F825489" w14:textId="5C8BDEFA" w:rsidR="009957F2" w:rsidRPr="009957F2" w:rsidRDefault="00F04374" w:rsidP="008B7390">
      <w:pPr>
        <w:pStyle w:val="Heading2"/>
      </w:pPr>
      <w:bookmarkStart w:id="7" w:name="_Toc103245374"/>
      <w:bookmarkStart w:id="8" w:name="_Toc405551371"/>
      <w:r>
        <w:t>Abbreviations in this section</w:t>
      </w:r>
      <w:bookmarkEnd w:id="7"/>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8189"/>
      </w:tblGrid>
      <w:tr w:rsidR="00546DAF" w:rsidRPr="00240AB2" w14:paraId="67B783DD" w14:textId="77777777" w:rsidTr="00A46D7C">
        <w:tc>
          <w:tcPr>
            <w:tcW w:w="1133" w:type="dxa"/>
            <w:shd w:val="clear" w:color="auto" w:fill="auto"/>
          </w:tcPr>
          <w:p w14:paraId="0B376222" w14:textId="77777777" w:rsidR="00546DAF" w:rsidRPr="00C77767" w:rsidRDefault="00546DAF" w:rsidP="00F04374">
            <w:pPr>
              <w:rPr>
                <w:rFonts w:cs="Arial"/>
                <w:sz w:val="22"/>
                <w:szCs w:val="22"/>
                <w:lang w:eastAsia="x-none"/>
              </w:rPr>
            </w:pPr>
            <w:proofErr w:type="spellStart"/>
            <w:r w:rsidRPr="00191DA3">
              <w:rPr>
                <w:rFonts w:cs="Arial"/>
                <w:sz w:val="22"/>
                <w:szCs w:val="22"/>
                <w:lang w:eastAsia="x-none"/>
              </w:rPr>
              <w:t>AQSH</w:t>
            </w:r>
            <w:proofErr w:type="spellEnd"/>
          </w:p>
        </w:tc>
        <w:tc>
          <w:tcPr>
            <w:tcW w:w="8189" w:type="dxa"/>
            <w:shd w:val="clear" w:color="auto" w:fill="auto"/>
          </w:tcPr>
          <w:p w14:paraId="66BC7A95" w14:textId="77777777" w:rsidR="00546DAF" w:rsidRPr="00191DA3" w:rsidRDefault="00546DAF" w:rsidP="00F04374">
            <w:pPr>
              <w:rPr>
                <w:rFonts w:cs="Arial"/>
                <w:sz w:val="22"/>
                <w:szCs w:val="22"/>
                <w:lang w:eastAsia="x-none"/>
              </w:rPr>
            </w:pPr>
            <w:r w:rsidRPr="00191DA3">
              <w:rPr>
                <w:rFonts w:cs="Arial"/>
                <w:sz w:val="22"/>
                <w:szCs w:val="22"/>
                <w:lang w:eastAsia="x-none"/>
              </w:rPr>
              <w:t>Academic Quality &amp; Standards Handbook</w:t>
            </w:r>
          </w:p>
        </w:tc>
      </w:tr>
      <w:tr w:rsidR="00560E03" w:rsidRPr="00240AB2" w14:paraId="00C9EF5F" w14:textId="77777777" w:rsidTr="00A46D7C">
        <w:tc>
          <w:tcPr>
            <w:tcW w:w="1133" w:type="dxa"/>
            <w:tcBorders>
              <w:top w:val="single" w:sz="4" w:space="0" w:color="auto"/>
              <w:left w:val="single" w:sz="4" w:space="0" w:color="auto"/>
              <w:bottom w:val="single" w:sz="4" w:space="0" w:color="auto"/>
              <w:right w:val="single" w:sz="4" w:space="0" w:color="auto"/>
            </w:tcBorders>
            <w:shd w:val="clear" w:color="auto" w:fill="auto"/>
          </w:tcPr>
          <w:p w14:paraId="354C4F5B" w14:textId="77777777" w:rsidR="00560E03" w:rsidRPr="00C77767" w:rsidRDefault="00560E03" w:rsidP="003B7632">
            <w:pPr>
              <w:rPr>
                <w:rFonts w:cs="Arial"/>
                <w:sz w:val="22"/>
                <w:szCs w:val="22"/>
                <w:lang w:eastAsia="x-none"/>
              </w:rPr>
            </w:pPr>
            <w:r w:rsidRPr="00191DA3">
              <w:rPr>
                <w:rFonts w:cs="Arial"/>
                <w:sz w:val="22"/>
                <w:szCs w:val="22"/>
                <w:lang w:eastAsia="x-none"/>
              </w:rPr>
              <w:t>EC</w:t>
            </w:r>
          </w:p>
        </w:tc>
        <w:tc>
          <w:tcPr>
            <w:tcW w:w="8189" w:type="dxa"/>
            <w:tcBorders>
              <w:top w:val="single" w:sz="4" w:space="0" w:color="auto"/>
              <w:left w:val="single" w:sz="4" w:space="0" w:color="auto"/>
              <w:bottom w:val="single" w:sz="4" w:space="0" w:color="auto"/>
              <w:right w:val="single" w:sz="4" w:space="0" w:color="auto"/>
            </w:tcBorders>
            <w:shd w:val="clear" w:color="auto" w:fill="auto"/>
          </w:tcPr>
          <w:p w14:paraId="4B8D24CF" w14:textId="77777777" w:rsidR="00560E03" w:rsidRPr="00C77767" w:rsidRDefault="00560E03" w:rsidP="003B7632">
            <w:pPr>
              <w:rPr>
                <w:rFonts w:cs="Arial"/>
                <w:sz w:val="22"/>
                <w:szCs w:val="22"/>
                <w:lang w:eastAsia="x-none"/>
              </w:rPr>
            </w:pPr>
            <w:r w:rsidRPr="00191DA3">
              <w:rPr>
                <w:rFonts w:cs="Arial"/>
                <w:sz w:val="22"/>
                <w:szCs w:val="22"/>
                <w:lang w:eastAsia="x-none"/>
              </w:rPr>
              <w:t>Education Committee</w:t>
            </w:r>
          </w:p>
        </w:tc>
      </w:tr>
      <w:tr w:rsidR="00F04374" w:rsidRPr="00240AB2" w14:paraId="47A17C53" w14:textId="77777777" w:rsidTr="00A46D7C">
        <w:tc>
          <w:tcPr>
            <w:tcW w:w="1133" w:type="dxa"/>
            <w:shd w:val="clear" w:color="auto" w:fill="auto"/>
          </w:tcPr>
          <w:p w14:paraId="5DF0BEA4" w14:textId="77777777" w:rsidR="00F04374" w:rsidRPr="00C77767" w:rsidRDefault="00546DAF" w:rsidP="00F04374">
            <w:pPr>
              <w:rPr>
                <w:rFonts w:cs="Arial"/>
                <w:sz w:val="22"/>
                <w:szCs w:val="22"/>
                <w:lang w:eastAsia="x-none"/>
              </w:rPr>
            </w:pPr>
            <w:r w:rsidRPr="00191DA3">
              <w:rPr>
                <w:rFonts w:cs="Arial"/>
                <w:sz w:val="22"/>
                <w:szCs w:val="22"/>
                <w:lang w:eastAsia="x-none"/>
              </w:rPr>
              <w:t>IQA</w:t>
            </w:r>
          </w:p>
        </w:tc>
        <w:tc>
          <w:tcPr>
            <w:tcW w:w="8189" w:type="dxa"/>
            <w:shd w:val="clear" w:color="auto" w:fill="auto"/>
          </w:tcPr>
          <w:p w14:paraId="77CE7D15" w14:textId="77777777" w:rsidR="00F04374" w:rsidRPr="00C77767" w:rsidRDefault="00546DAF" w:rsidP="00F04374">
            <w:pPr>
              <w:rPr>
                <w:rFonts w:cs="Arial"/>
                <w:sz w:val="22"/>
                <w:szCs w:val="22"/>
                <w:lang w:eastAsia="x-none"/>
              </w:rPr>
            </w:pPr>
            <w:r w:rsidRPr="00191DA3">
              <w:rPr>
                <w:rFonts w:cs="Arial"/>
                <w:sz w:val="22"/>
                <w:szCs w:val="22"/>
                <w:lang w:eastAsia="x-none"/>
              </w:rPr>
              <w:t>Internal Quality Audit</w:t>
            </w:r>
          </w:p>
        </w:tc>
      </w:tr>
      <w:tr w:rsidR="00C40450" w:rsidRPr="00240AB2" w14:paraId="6B70B3D0" w14:textId="77777777" w:rsidTr="00A46D7C">
        <w:tc>
          <w:tcPr>
            <w:tcW w:w="1133" w:type="dxa"/>
            <w:shd w:val="clear" w:color="auto" w:fill="auto"/>
          </w:tcPr>
          <w:p w14:paraId="742F5385" w14:textId="537AD6E7" w:rsidR="00C40450" w:rsidRPr="00191DA3" w:rsidRDefault="00C40450" w:rsidP="00F04374">
            <w:pPr>
              <w:rPr>
                <w:rFonts w:cs="Arial"/>
                <w:sz w:val="22"/>
                <w:szCs w:val="22"/>
                <w:lang w:eastAsia="x-none"/>
              </w:rPr>
            </w:pPr>
            <w:proofErr w:type="spellStart"/>
            <w:r>
              <w:rPr>
                <w:rFonts w:cs="Arial"/>
                <w:sz w:val="22"/>
                <w:szCs w:val="22"/>
                <w:lang w:eastAsia="x-none"/>
              </w:rPr>
              <w:t>KCEP</w:t>
            </w:r>
            <w:proofErr w:type="spellEnd"/>
          </w:p>
        </w:tc>
        <w:tc>
          <w:tcPr>
            <w:tcW w:w="8189" w:type="dxa"/>
            <w:shd w:val="clear" w:color="auto" w:fill="auto"/>
          </w:tcPr>
          <w:p w14:paraId="56A3F812" w14:textId="70B0E097" w:rsidR="00C40450" w:rsidRPr="00191DA3" w:rsidRDefault="00C40450" w:rsidP="00F04374">
            <w:pPr>
              <w:rPr>
                <w:rFonts w:cs="Arial"/>
                <w:sz w:val="22"/>
                <w:szCs w:val="22"/>
                <w:lang w:eastAsia="x-none"/>
              </w:rPr>
            </w:pPr>
            <w:r>
              <w:rPr>
                <w:rFonts w:cs="Arial"/>
                <w:sz w:val="22"/>
                <w:szCs w:val="22"/>
                <w:lang w:eastAsia="x-none"/>
              </w:rPr>
              <w:t>Kingston Continuous Enhancement Process</w:t>
            </w:r>
          </w:p>
        </w:tc>
      </w:tr>
      <w:tr w:rsidR="00546DAF" w:rsidRPr="00240AB2" w14:paraId="1E4AA4F9" w14:textId="77777777" w:rsidTr="00A46D7C">
        <w:tc>
          <w:tcPr>
            <w:tcW w:w="1133" w:type="dxa"/>
            <w:shd w:val="clear" w:color="auto" w:fill="auto"/>
          </w:tcPr>
          <w:p w14:paraId="73A1D173" w14:textId="77777777" w:rsidR="00546DAF" w:rsidRPr="00191DA3" w:rsidRDefault="00546DAF" w:rsidP="00F04374">
            <w:pPr>
              <w:rPr>
                <w:rFonts w:cs="Arial"/>
                <w:sz w:val="22"/>
                <w:szCs w:val="22"/>
                <w:lang w:eastAsia="x-none"/>
              </w:rPr>
            </w:pPr>
            <w:proofErr w:type="spellStart"/>
            <w:r w:rsidRPr="00191DA3">
              <w:rPr>
                <w:rFonts w:cs="Arial"/>
                <w:sz w:val="22"/>
                <w:szCs w:val="22"/>
                <w:lang w:eastAsia="x-none"/>
              </w:rPr>
              <w:t>PSRB</w:t>
            </w:r>
            <w:proofErr w:type="spellEnd"/>
          </w:p>
        </w:tc>
        <w:tc>
          <w:tcPr>
            <w:tcW w:w="8189" w:type="dxa"/>
            <w:shd w:val="clear" w:color="auto" w:fill="auto"/>
          </w:tcPr>
          <w:p w14:paraId="21ED0E4F" w14:textId="77777777" w:rsidR="00546DAF" w:rsidRPr="00191DA3" w:rsidRDefault="00546DAF" w:rsidP="00F04374">
            <w:pPr>
              <w:rPr>
                <w:rFonts w:cs="Arial"/>
                <w:sz w:val="22"/>
                <w:szCs w:val="22"/>
                <w:lang w:eastAsia="x-none"/>
              </w:rPr>
            </w:pPr>
            <w:r w:rsidRPr="00191DA3">
              <w:rPr>
                <w:rFonts w:cs="Arial"/>
                <w:sz w:val="22"/>
                <w:szCs w:val="22"/>
                <w:lang w:eastAsia="x-none"/>
              </w:rPr>
              <w:t>Professional, Statutory &amp; Regulatory Body</w:t>
            </w:r>
          </w:p>
        </w:tc>
      </w:tr>
      <w:tr w:rsidR="005F47D3" w:rsidRPr="00240AB2" w14:paraId="1BD24687" w14:textId="77777777" w:rsidTr="00A46D7C">
        <w:tc>
          <w:tcPr>
            <w:tcW w:w="1133" w:type="dxa"/>
            <w:tcBorders>
              <w:top w:val="single" w:sz="4" w:space="0" w:color="auto"/>
              <w:left w:val="single" w:sz="4" w:space="0" w:color="auto"/>
              <w:bottom w:val="single" w:sz="4" w:space="0" w:color="auto"/>
              <w:right w:val="single" w:sz="4" w:space="0" w:color="auto"/>
            </w:tcBorders>
            <w:shd w:val="clear" w:color="auto" w:fill="auto"/>
          </w:tcPr>
          <w:p w14:paraId="5E09060D" w14:textId="77777777" w:rsidR="005F47D3" w:rsidRDefault="005F47D3" w:rsidP="003B7632">
            <w:pPr>
              <w:rPr>
                <w:rFonts w:cs="Arial"/>
                <w:sz w:val="22"/>
                <w:szCs w:val="22"/>
                <w:lang w:eastAsia="x-none"/>
              </w:rPr>
            </w:pPr>
            <w:proofErr w:type="spellStart"/>
            <w:r>
              <w:rPr>
                <w:rFonts w:cs="Arial"/>
                <w:sz w:val="22"/>
                <w:szCs w:val="22"/>
                <w:lang w:eastAsia="x-none"/>
              </w:rPr>
              <w:t>RDC</w:t>
            </w:r>
            <w:proofErr w:type="spellEnd"/>
          </w:p>
        </w:tc>
        <w:tc>
          <w:tcPr>
            <w:tcW w:w="8189" w:type="dxa"/>
            <w:tcBorders>
              <w:top w:val="single" w:sz="4" w:space="0" w:color="auto"/>
              <w:left w:val="single" w:sz="4" w:space="0" w:color="auto"/>
              <w:bottom w:val="single" w:sz="4" w:space="0" w:color="auto"/>
              <w:right w:val="single" w:sz="4" w:space="0" w:color="auto"/>
            </w:tcBorders>
            <w:shd w:val="clear" w:color="auto" w:fill="auto"/>
          </w:tcPr>
          <w:p w14:paraId="1B3A04AE" w14:textId="77777777" w:rsidR="005F47D3" w:rsidRDefault="005F47D3" w:rsidP="003B7632">
            <w:pPr>
              <w:rPr>
                <w:rFonts w:cs="Arial"/>
                <w:sz w:val="22"/>
                <w:szCs w:val="22"/>
                <w:lang w:eastAsia="x-none"/>
              </w:rPr>
            </w:pPr>
            <w:r>
              <w:rPr>
                <w:rFonts w:cs="Arial"/>
                <w:sz w:val="22"/>
                <w:szCs w:val="22"/>
                <w:lang w:eastAsia="x-none"/>
              </w:rPr>
              <w:t>Research Degrees Committee</w:t>
            </w:r>
          </w:p>
        </w:tc>
      </w:tr>
      <w:tr w:rsidR="00FF6338" w:rsidRPr="00240AB2" w14:paraId="474B6126" w14:textId="77777777" w:rsidTr="00A46D7C">
        <w:tc>
          <w:tcPr>
            <w:tcW w:w="1133" w:type="dxa"/>
            <w:tcBorders>
              <w:top w:val="single" w:sz="4" w:space="0" w:color="auto"/>
              <w:left w:val="single" w:sz="4" w:space="0" w:color="auto"/>
              <w:bottom w:val="single" w:sz="4" w:space="0" w:color="auto"/>
              <w:right w:val="single" w:sz="4" w:space="0" w:color="auto"/>
            </w:tcBorders>
            <w:shd w:val="clear" w:color="auto" w:fill="auto"/>
          </w:tcPr>
          <w:p w14:paraId="6CE86F2C" w14:textId="77777777" w:rsidR="00FF6338" w:rsidRDefault="00FF6338" w:rsidP="003B7632">
            <w:pPr>
              <w:rPr>
                <w:rFonts w:cs="Arial"/>
                <w:sz w:val="22"/>
                <w:szCs w:val="22"/>
                <w:lang w:eastAsia="x-none"/>
              </w:rPr>
            </w:pPr>
            <w:r>
              <w:rPr>
                <w:rFonts w:cs="Arial"/>
                <w:sz w:val="22"/>
                <w:szCs w:val="22"/>
                <w:lang w:eastAsia="x-none"/>
              </w:rPr>
              <w:t>REF</w:t>
            </w:r>
          </w:p>
        </w:tc>
        <w:tc>
          <w:tcPr>
            <w:tcW w:w="8189" w:type="dxa"/>
            <w:tcBorders>
              <w:top w:val="single" w:sz="4" w:space="0" w:color="auto"/>
              <w:left w:val="single" w:sz="4" w:space="0" w:color="auto"/>
              <w:bottom w:val="single" w:sz="4" w:space="0" w:color="auto"/>
              <w:right w:val="single" w:sz="4" w:space="0" w:color="auto"/>
            </w:tcBorders>
            <w:shd w:val="clear" w:color="auto" w:fill="auto"/>
          </w:tcPr>
          <w:p w14:paraId="2BFDEBCA" w14:textId="77777777" w:rsidR="00FF6338" w:rsidRDefault="00FF6338" w:rsidP="003B7632">
            <w:pPr>
              <w:rPr>
                <w:rFonts w:cs="Arial"/>
                <w:sz w:val="22"/>
                <w:szCs w:val="22"/>
                <w:lang w:eastAsia="x-none"/>
              </w:rPr>
            </w:pPr>
            <w:r>
              <w:rPr>
                <w:rFonts w:cs="Arial"/>
                <w:sz w:val="22"/>
                <w:szCs w:val="22"/>
                <w:lang w:eastAsia="x-none"/>
              </w:rPr>
              <w:t>Research Excellence Framework</w:t>
            </w:r>
          </w:p>
        </w:tc>
      </w:tr>
      <w:tr w:rsidR="00560E03" w:rsidRPr="00240AB2" w14:paraId="6A94AC0A" w14:textId="77777777" w:rsidTr="00A46D7C">
        <w:tc>
          <w:tcPr>
            <w:tcW w:w="1133" w:type="dxa"/>
            <w:tcBorders>
              <w:top w:val="single" w:sz="4" w:space="0" w:color="auto"/>
              <w:left w:val="single" w:sz="4" w:space="0" w:color="auto"/>
              <w:bottom w:val="single" w:sz="4" w:space="0" w:color="auto"/>
              <w:right w:val="single" w:sz="4" w:space="0" w:color="auto"/>
            </w:tcBorders>
            <w:shd w:val="clear" w:color="auto" w:fill="auto"/>
          </w:tcPr>
          <w:p w14:paraId="31DAD48F" w14:textId="77777777" w:rsidR="00560E03" w:rsidRPr="00240AB2" w:rsidRDefault="00560E03" w:rsidP="003B7632">
            <w:pPr>
              <w:rPr>
                <w:rFonts w:cs="Arial"/>
                <w:sz w:val="22"/>
                <w:szCs w:val="22"/>
                <w:lang w:eastAsia="x-none"/>
              </w:rPr>
            </w:pPr>
            <w:r>
              <w:rPr>
                <w:rFonts w:cs="Arial"/>
                <w:sz w:val="22"/>
                <w:szCs w:val="22"/>
                <w:lang w:eastAsia="x-none"/>
              </w:rPr>
              <w:t>RFC</w:t>
            </w:r>
          </w:p>
        </w:tc>
        <w:tc>
          <w:tcPr>
            <w:tcW w:w="8189" w:type="dxa"/>
            <w:tcBorders>
              <w:top w:val="single" w:sz="4" w:space="0" w:color="auto"/>
              <w:left w:val="single" w:sz="4" w:space="0" w:color="auto"/>
              <w:bottom w:val="single" w:sz="4" w:space="0" w:color="auto"/>
              <w:right w:val="single" w:sz="4" w:space="0" w:color="auto"/>
            </w:tcBorders>
            <w:shd w:val="clear" w:color="auto" w:fill="auto"/>
          </w:tcPr>
          <w:p w14:paraId="33193F0D" w14:textId="77777777" w:rsidR="00560E03" w:rsidRPr="00C77767" w:rsidRDefault="00A87625" w:rsidP="003B7632">
            <w:pPr>
              <w:rPr>
                <w:rFonts w:cs="Arial"/>
                <w:sz w:val="22"/>
                <w:szCs w:val="22"/>
                <w:lang w:eastAsia="x-none"/>
              </w:rPr>
            </w:pPr>
            <w:r>
              <w:rPr>
                <w:rFonts w:cs="Arial"/>
                <w:sz w:val="22"/>
                <w:szCs w:val="22"/>
                <w:lang w:eastAsia="x-none"/>
              </w:rPr>
              <w:t>Regulatory Framework</w:t>
            </w:r>
            <w:r w:rsidR="00560E03" w:rsidRPr="00191DA3">
              <w:rPr>
                <w:rFonts w:cs="Arial"/>
                <w:sz w:val="22"/>
                <w:szCs w:val="22"/>
                <w:lang w:eastAsia="x-none"/>
              </w:rPr>
              <w:t xml:space="preserve"> Committee</w:t>
            </w:r>
          </w:p>
        </w:tc>
      </w:tr>
      <w:tr w:rsidR="00196C00" w:rsidRPr="00240AB2" w14:paraId="3EAA5F2D" w14:textId="77777777" w:rsidTr="00A46D7C">
        <w:tc>
          <w:tcPr>
            <w:tcW w:w="1133" w:type="dxa"/>
            <w:tcBorders>
              <w:top w:val="single" w:sz="4" w:space="0" w:color="auto"/>
              <w:left w:val="single" w:sz="4" w:space="0" w:color="auto"/>
              <w:bottom w:val="single" w:sz="4" w:space="0" w:color="auto"/>
              <w:right w:val="single" w:sz="4" w:space="0" w:color="auto"/>
            </w:tcBorders>
            <w:shd w:val="clear" w:color="auto" w:fill="auto"/>
          </w:tcPr>
          <w:p w14:paraId="365E195E" w14:textId="34449476" w:rsidR="00196C00" w:rsidRDefault="00196C00" w:rsidP="003B7632">
            <w:pPr>
              <w:rPr>
                <w:rFonts w:cs="Arial"/>
                <w:sz w:val="22"/>
                <w:szCs w:val="22"/>
                <w:lang w:eastAsia="x-none"/>
              </w:rPr>
            </w:pPr>
            <w:r>
              <w:rPr>
                <w:rFonts w:cs="Arial"/>
                <w:sz w:val="22"/>
                <w:szCs w:val="22"/>
                <w:lang w:eastAsia="x-none"/>
              </w:rPr>
              <w:t>SEC</w:t>
            </w:r>
          </w:p>
        </w:tc>
        <w:tc>
          <w:tcPr>
            <w:tcW w:w="8189" w:type="dxa"/>
            <w:tcBorders>
              <w:top w:val="single" w:sz="4" w:space="0" w:color="auto"/>
              <w:left w:val="single" w:sz="4" w:space="0" w:color="auto"/>
              <w:bottom w:val="single" w:sz="4" w:space="0" w:color="auto"/>
              <w:right w:val="single" w:sz="4" w:space="0" w:color="auto"/>
            </w:tcBorders>
            <w:shd w:val="clear" w:color="auto" w:fill="auto"/>
          </w:tcPr>
          <w:p w14:paraId="52FFE96A" w14:textId="60ADBCC1" w:rsidR="00196C00" w:rsidRDefault="00196C00" w:rsidP="003B7632">
            <w:pPr>
              <w:rPr>
                <w:rFonts w:cs="Arial"/>
                <w:sz w:val="22"/>
                <w:szCs w:val="22"/>
                <w:lang w:eastAsia="x-none"/>
              </w:rPr>
            </w:pPr>
            <w:r>
              <w:rPr>
                <w:rFonts w:cs="Arial"/>
                <w:sz w:val="22"/>
                <w:szCs w:val="22"/>
                <w:lang w:eastAsia="x-none"/>
              </w:rPr>
              <w:t>School Education Committee</w:t>
            </w:r>
          </w:p>
        </w:tc>
      </w:tr>
      <w:tr w:rsidR="00546DAF" w:rsidRPr="00240AB2" w14:paraId="6CEA6FE1" w14:textId="77777777" w:rsidTr="00A46D7C">
        <w:tc>
          <w:tcPr>
            <w:tcW w:w="1133" w:type="dxa"/>
            <w:shd w:val="clear" w:color="auto" w:fill="auto"/>
          </w:tcPr>
          <w:p w14:paraId="6498DF10" w14:textId="77777777" w:rsidR="00546DAF" w:rsidRPr="00191DA3" w:rsidRDefault="00546DAF" w:rsidP="00F04374">
            <w:pPr>
              <w:rPr>
                <w:rFonts w:cs="Arial"/>
                <w:sz w:val="22"/>
                <w:szCs w:val="22"/>
                <w:lang w:eastAsia="x-none"/>
              </w:rPr>
            </w:pPr>
            <w:proofErr w:type="spellStart"/>
            <w:r w:rsidRPr="00191DA3">
              <w:rPr>
                <w:rFonts w:cs="Arial"/>
                <w:sz w:val="22"/>
                <w:szCs w:val="22"/>
                <w:lang w:eastAsia="x-none"/>
              </w:rPr>
              <w:t>S</w:t>
            </w:r>
            <w:r w:rsidR="00D3773D">
              <w:rPr>
                <w:rFonts w:cs="Arial"/>
                <w:sz w:val="22"/>
                <w:szCs w:val="22"/>
                <w:lang w:eastAsia="x-none"/>
              </w:rPr>
              <w:t>L</w:t>
            </w:r>
            <w:r w:rsidRPr="00191DA3">
              <w:rPr>
                <w:rFonts w:cs="Arial"/>
                <w:sz w:val="22"/>
                <w:szCs w:val="22"/>
                <w:lang w:eastAsia="x-none"/>
              </w:rPr>
              <w:t>T</w:t>
            </w:r>
            <w:proofErr w:type="spellEnd"/>
          </w:p>
        </w:tc>
        <w:tc>
          <w:tcPr>
            <w:tcW w:w="8189" w:type="dxa"/>
            <w:shd w:val="clear" w:color="auto" w:fill="auto"/>
          </w:tcPr>
          <w:p w14:paraId="57B24413" w14:textId="77777777" w:rsidR="00546DAF" w:rsidRPr="00191DA3" w:rsidRDefault="00D3773D" w:rsidP="00F04374">
            <w:pPr>
              <w:rPr>
                <w:rFonts w:cs="Arial"/>
                <w:sz w:val="22"/>
                <w:szCs w:val="22"/>
                <w:lang w:eastAsia="x-none"/>
              </w:rPr>
            </w:pPr>
            <w:r>
              <w:rPr>
                <w:rFonts w:cs="Arial"/>
                <w:sz w:val="22"/>
                <w:szCs w:val="22"/>
                <w:lang w:eastAsia="x-none"/>
              </w:rPr>
              <w:t>Senior Leadership Team</w:t>
            </w:r>
          </w:p>
        </w:tc>
      </w:tr>
      <w:tr w:rsidR="00546DAF" w:rsidRPr="00240AB2" w14:paraId="3FFDE620" w14:textId="77777777" w:rsidTr="00A46D7C">
        <w:tc>
          <w:tcPr>
            <w:tcW w:w="1133" w:type="dxa"/>
            <w:shd w:val="clear" w:color="auto" w:fill="auto"/>
          </w:tcPr>
          <w:p w14:paraId="78D308EA" w14:textId="52606E4E" w:rsidR="00546DAF" w:rsidRPr="00191DA3" w:rsidRDefault="00CC5408" w:rsidP="00F04374">
            <w:pPr>
              <w:rPr>
                <w:rFonts w:cs="Arial"/>
                <w:sz w:val="22"/>
                <w:szCs w:val="22"/>
                <w:lang w:eastAsia="x-none"/>
              </w:rPr>
            </w:pPr>
            <w:r>
              <w:rPr>
                <w:rFonts w:cs="Arial"/>
                <w:sz w:val="22"/>
                <w:szCs w:val="22"/>
                <w:lang w:eastAsia="x-none"/>
              </w:rPr>
              <w:t>SVC</w:t>
            </w:r>
          </w:p>
        </w:tc>
        <w:tc>
          <w:tcPr>
            <w:tcW w:w="8189" w:type="dxa"/>
            <w:shd w:val="clear" w:color="auto" w:fill="auto"/>
          </w:tcPr>
          <w:p w14:paraId="5309F4B7" w14:textId="2A9F769D" w:rsidR="00546DAF" w:rsidRPr="00531837" w:rsidRDefault="00CC5408" w:rsidP="00F04374">
            <w:pPr>
              <w:rPr>
                <w:rFonts w:cs="Arial"/>
                <w:sz w:val="22"/>
                <w:szCs w:val="22"/>
                <w:lang w:eastAsia="x-none"/>
              </w:rPr>
            </w:pPr>
            <w:r w:rsidRPr="00531837">
              <w:rPr>
                <w:color w:val="000000"/>
                <w:sz w:val="22"/>
                <w:szCs w:val="22"/>
              </w:rPr>
              <w:t>Student Voice Committee</w:t>
            </w:r>
          </w:p>
        </w:tc>
      </w:tr>
      <w:tr w:rsidR="00546DAF" w:rsidRPr="00240AB2" w14:paraId="361753D9" w14:textId="77777777" w:rsidTr="00A46D7C">
        <w:tc>
          <w:tcPr>
            <w:tcW w:w="1133" w:type="dxa"/>
            <w:shd w:val="clear" w:color="auto" w:fill="auto"/>
          </w:tcPr>
          <w:p w14:paraId="0A7224B5" w14:textId="77777777" w:rsidR="00546DAF" w:rsidRPr="00191DA3" w:rsidRDefault="00546DAF" w:rsidP="00F04374">
            <w:pPr>
              <w:rPr>
                <w:rFonts w:cs="Arial"/>
                <w:sz w:val="22"/>
                <w:szCs w:val="22"/>
                <w:lang w:eastAsia="x-none"/>
              </w:rPr>
            </w:pPr>
            <w:r w:rsidRPr="00191DA3">
              <w:rPr>
                <w:rFonts w:cs="Arial"/>
                <w:sz w:val="22"/>
                <w:szCs w:val="22"/>
                <w:lang w:eastAsia="x-none"/>
              </w:rPr>
              <w:t>VC</w:t>
            </w:r>
          </w:p>
        </w:tc>
        <w:tc>
          <w:tcPr>
            <w:tcW w:w="8189" w:type="dxa"/>
            <w:shd w:val="clear" w:color="auto" w:fill="auto"/>
          </w:tcPr>
          <w:p w14:paraId="57F6E761" w14:textId="77777777" w:rsidR="00546DAF" w:rsidRPr="00191DA3" w:rsidRDefault="00546DAF" w:rsidP="00F04374">
            <w:pPr>
              <w:rPr>
                <w:rFonts w:cs="Arial"/>
                <w:sz w:val="22"/>
                <w:szCs w:val="22"/>
                <w:lang w:eastAsia="x-none"/>
              </w:rPr>
            </w:pPr>
            <w:r w:rsidRPr="00191DA3">
              <w:rPr>
                <w:rFonts w:cs="Arial"/>
                <w:sz w:val="22"/>
                <w:szCs w:val="22"/>
                <w:lang w:eastAsia="x-none"/>
              </w:rPr>
              <w:t>Vice-Chancellor</w:t>
            </w:r>
          </w:p>
        </w:tc>
      </w:tr>
    </w:tbl>
    <w:p w14:paraId="41B11875" w14:textId="71F40DF4" w:rsidR="009957F2" w:rsidRPr="009957F2" w:rsidRDefault="00116966" w:rsidP="008B7390">
      <w:pPr>
        <w:pStyle w:val="Heading2"/>
      </w:pPr>
      <w:bookmarkStart w:id="9" w:name="Section_A_purpose"/>
      <w:bookmarkStart w:id="10" w:name="_Toc1730399823"/>
      <w:bookmarkEnd w:id="9"/>
      <w:r>
        <w:t>Purpose of the Academic Quality and Standards Handbook (</w:t>
      </w:r>
      <w:proofErr w:type="spellStart"/>
      <w:r>
        <w:t>AQSH</w:t>
      </w:r>
      <w:proofErr w:type="spellEnd"/>
      <w:r>
        <w:t>)</w:t>
      </w:r>
      <w:bookmarkEnd w:id="10"/>
    </w:p>
    <w:p w14:paraId="017E9D2E" w14:textId="7129946F" w:rsidR="00116966" w:rsidRDefault="00116966" w:rsidP="00AD70A3">
      <w:pPr>
        <w:pStyle w:val="ListParagraph"/>
        <w:numPr>
          <w:ilvl w:val="0"/>
          <w:numId w:val="23"/>
        </w:numPr>
        <w:ind w:left="709" w:hanging="436"/>
        <w:rPr>
          <w:noProof/>
        </w:rPr>
      </w:pPr>
      <w:r w:rsidRPr="002F00EC">
        <w:rPr>
          <w:noProof/>
        </w:rPr>
        <w:t xml:space="preserve">The AQSH is intended to provide guidance and information </w:t>
      </w:r>
      <w:r w:rsidR="00A87625">
        <w:rPr>
          <w:noProof/>
        </w:rPr>
        <w:t>for</w:t>
      </w:r>
      <w:r w:rsidR="00A87625" w:rsidRPr="002F00EC">
        <w:rPr>
          <w:noProof/>
        </w:rPr>
        <w:t xml:space="preserve"> </w:t>
      </w:r>
      <w:r w:rsidRPr="002F00EC">
        <w:rPr>
          <w:noProof/>
        </w:rPr>
        <w:t>all participants involved in quality assurance and enhancement across the University</w:t>
      </w:r>
      <w:r w:rsidR="009D7AB3">
        <w:rPr>
          <w:noProof/>
        </w:rPr>
        <w:t xml:space="preserve"> and its collaborative partners</w:t>
      </w:r>
      <w:r w:rsidRPr="002F00EC">
        <w:rPr>
          <w:noProof/>
        </w:rPr>
        <w:t xml:space="preserve">.  The University discharges its responsibilities for the quality assurance and enhancement of taught provision through the procedures set out in the AQSH.  The Handbook has been </w:t>
      </w:r>
      <w:r w:rsidRPr="00B37296">
        <w:rPr>
          <w:noProof/>
        </w:rPr>
        <w:t xml:space="preserve">framed in the context of </w:t>
      </w:r>
      <w:r w:rsidRPr="00956873">
        <w:rPr>
          <w:noProof/>
        </w:rPr>
        <w:t xml:space="preserve">the University's Policy on Academic Standards and Quality </w:t>
      </w:r>
      <w:r w:rsidRPr="00956873">
        <w:rPr>
          <w:iCs/>
          <w:noProof/>
          <w:szCs w:val="24"/>
        </w:rPr>
        <w:t xml:space="preserve">(available from the Kingston University website – </w:t>
      </w:r>
      <w:hyperlink r:id="rId12" w:history="1">
        <w:r w:rsidRPr="00956873">
          <w:rPr>
            <w:rStyle w:val="Hyperlink"/>
            <w:rFonts w:cs="Arial"/>
            <w:iCs/>
            <w:noProof/>
            <w:color w:val="auto"/>
            <w:szCs w:val="24"/>
          </w:rPr>
          <w:t>Policy and Regulations page</w:t>
        </w:r>
      </w:hyperlink>
      <w:r w:rsidRPr="00956873">
        <w:rPr>
          <w:iCs/>
          <w:noProof/>
          <w:szCs w:val="24"/>
        </w:rPr>
        <w:t xml:space="preserve">) </w:t>
      </w:r>
      <w:r w:rsidRPr="00956873">
        <w:rPr>
          <w:noProof/>
        </w:rPr>
        <w:t>and the</w:t>
      </w:r>
      <w:r w:rsidR="007139C8" w:rsidRPr="00956873">
        <w:rPr>
          <w:noProof/>
        </w:rPr>
        <w:t xml:space="preserve"> </w:t>
      </w:r>
      <w:hyperlink r:id="rId13" w:history="1">
        <w:r w:rsidR="00445235" w:rsidRPr="00956873">
          <w:rPr>
            <w:rStyle w:val="Hyperlink"/>
            <w:noProof/>
            <w:color w:val="auto"/>
          </w:rPr>
          <w:t>Town House Strategy</w:t>
        </w:r>
      </w:hyperlink>
      <w:r w:rsidR="007139C8" w:rsidRPr="00956873">
        <w:rPr>
          <w:noProof/>
        </w:rPr>
        <w:t>.</w:t>
      </w:r>
    </w:p>
    <w:p w14:paraId="70B689E9" w14:textId="77777777" w:rsidR="009957F2" w:rsidRPr="0042042E" w:rsidRDefault="009957F2" w:rsidP="009957F2">
      <w:pPr>
        <w:pStyle w:val="ListParagraph"/>
        <w:rPr>
          <w:noProof/>
        </w:rPr>
      </w:pPr>
    </w:p>
    <w:p w14:paraId="2439B2EC" w14:textId="39AEB5D2" w:rsidR="00116966" w:rsidRPr="008B7390" w:rsidRDefault="00116966" w:rsidP="00AD70A3">
      <w:pPr>
        <w:pStyle w:val="ListParagraph"/>
        <w:numPr>
          <w:ilvl w:val="0"/>
          <w:numId w:val="23"/>
        </w:numPr>
        <w:ind w:left="709" w:hanging="425"/>
        <w:rPr>
          <w:rFonts w:cs="Arial"/>
          <w:noProof/>
          <w:szCs w:val="24"/>
        </w:rPr>
      </w:pPr>
      <w:r w:rsidRPr="008B7390">
        <w:rPr>
          <w:rFonts w:cs="Arial"/>
          <w:noProof/>
          <w:szCs w:val="24"/>
        </w:rPr>
        <w:t>The AQSH covers the following areas:</w:t>
      </w:r>
    </w:p>
    <w:p w14:paraId="5491C7F2" w14:textId="71B2E4D6" w:rsidR="00116966" w:rsidRPr="008B7390" w:rsidRDefault="00D57B26" w:rsidP="004B1403">
      <w:pPr>
        <w:numPr>
          <w:ilvl w:val="1"/>
          <w:numId w:val="16"/>
        </w:numPr>
        <w:ind w:left="1134"/>
        <w:rPr>
          <w:rFonts w:cs="Arial"/>
          <w:noProof/>
          <w:szCs w:val="24"/>
        </w:rPr>
      </w:pPr>
      <w:r w:rsidRPr="008B7390">
        <w:rPr>
          <w:rFonts w:cs="Arial"/>
          <w:noProof/>
          <w:szCs w:val="24"/>
        </w:rPr>
        <w:t>A</w:t>
      </w:r>
      <w:r w:rsidR="00116966" w:rsidRPr="008B7390">
        <w:rPr>
          <w:rFonts w:cs="Arial"/>
          <w:noProof/>
          <w:szCs w:val="24"/>
        </w:rPr>
        <w:t>cademic</w:t>
      </w:r>
      <w:r w:rsidR="00037FD9">
        <w:rPr>
          <w:rFonts w:cs="Arial"/>
          <w:noProof/>
          <w:szCs w:val="24"/>
        </w:rPr>
        <w:t xml:space="preserve"> portfolio changes</w:t>
      </w:r>
      <w:r w:rsidR="00116966" w:rsidRPr="008B7390">
        <w:rPr>
          <w:rFonts w:cs="Arial"/>
          <w:noProof/>
          <w:szCs w:val="24"/>
        </w:rPr>
        <w:t xml:space="preserve"> </w:t>
      </w:r>
      <w:r w:rsidR="00116966" w:rsidRPr="008B7390">
        <w:rPr>
          <w:rFonts w:cs="Arial"/>
          <w:i/>
          <w:noProof/>
          <w:szCs w:val="24"/>
        </w:rPr>
        <w:t>(</w:t>
      </w:r>
      <w:r w:rsidR="006471DA" w:rsidRPr="008B7390">
        <w:rPr>
          <w:rFonts w:cs="Arial"/>
          <w:i/>
          <w:noProof/>
          <w:szCs w:val="24"/>
        </w:rPr>
        <w:t>section A</w:t>
      </w:r>
      <w:r w:rsidR="00116966" w:rsidRPr="008B7390">
        <w:rPr>
          <w:rFonts w:cs="Arial"/>
          <w:i/>
          <w:noProof/>
          <w:szCs w:val="24"/>
        </w:rPr>
        <w:t>)</w:t>
      </w:r>
    </w:p>
    <w:p w14:paraId="77B0824D" w14:textId="62DB6111" w:rsidR="00116966" w:rsidRPr="008B7390" w:rsidRDefault="00D57B26" w:rsidP="004B1403">
      <w:pPr>
        <w:numPr>
          <w:ilvl w:val="1"/>
          <w:numId w:val="16"/>
        </w:numPr>
        <w:ind w:left="1134"/>
        <w:rPr>
          <w:rFonts w:cs="Arial"/>
          <w:noProof/>
          <w:szCs w:val="24"/>
        </w:rPr>
      </w:pPr>
      <w:r w:rsidRPr="008B7390">
        <w:rPr>
          <w:rFonts w:cs="Arial"/>
          <w:noProof/>
          <w:szCs w:val="24"/>
        </w:rPr>
        <w:t>M</w:t>
      </w:r>
      <w:r w:rsidR="005B1B01" w:rsidRPr="008B7390">
        <w:rPr>
          <w:rFonts w:cs="Arial"/>
          <w:noProof/>
          <w:szCs w:val="24"/>
        </w:rPr>
        <w:t>anaging HE provision with other</w:t>
      </w:r>
      <w:r w:rsidR="00917E0B" w:rsidRPr="008B7390">
        <w:rPr>
          <w:rFonts w:cs="Arial"/>
          <w:noProof/>
          <w:szCs w:val="24"/>
        </w:rPr>
        <w:t>s</w:t>
      </w:r>
      <w:r w:rsidR="005B1B01" w:rsidRPr="008B7390">
        <w:rPr>
          <w:rFonts w:cs="Arial"/>
          <w:noProof/>
          <w:szCs w:val="24"/>
        </w:rPr>
        <w:t xml:space="preserve"> (</w:t>
      </w:r>
      <w:r w:rsidR="00116966" w:rsidRPr="008B7390">
        <w:rPr>
          <w:rFonts w:cs="Arial"/>
          <w:noProof/>
          <w:szCs w:val="24"/>
        </w:rPr>
        <w:t xml:space="preserve">collaborative </w:t>
      </w:r>
      <w:r w:rsidR="005B1B01" w:rsidRPr="008B7390">
        <w:rPr>
          <w:rFonts w:cs="Arial"/>
          <w:noProof/>
          <w:szCs w:val="24"/>
        </w:rPr>
        <w:t>provision)</w:t>
      </w:r>
      <w:r w:rsidR="00116966" w:rsidRPr="008B7390">
        <w:rPr>
          <w:rFonts w:cs="Arial"/>
          <w:noProof/>
          <w:szCs w:val="24"/>
        </w:rPr>
        <w:t xml:space="preserve"> </w:t>
      </w:r>
      <w:r w:rsidR="00116966" w:rsidRPr="008B7390">
        <w:rPr>
          <w:rFonts w:cs="Arial"/>
          <w:i/>
          <w:noProof/>
          <w:szCs w:val="24"/>
        </w:rPr>
        <w:t>(</w:t>
      </w:r>
      <w:r w:rsidR="006471DA" w:rsidRPr="008B7390">
        <w:rPr>
          <w:rFonts w:cs="Arial"/>
          <w:i/>
          <w:noProof/>
          <w:szCs w:val="24"/>
        </w:rPr>
        <w:t>section B</w:t>
      </w:r>
      <w:r w:rsidR="00116966" w:rsidRPr="008B7390">
        <w:rPr>
          <w:rFonts w:cs="Arial"/>
          <w:i/>
          <w:noProof/>
          <w:szCs w:val="24"/>
        </w:rPr>
        <w:t>)</w:t>
      </w:r>
    </w:p>
    <w:p w14:paraId="4983B9AF" w14:textId="1527AC4F" w:rsidR="00116966" w:rsidRPr="008B7390" w:rsidRDefault="00D57B26" w:rsidP="004B1403">
      <w:pPr>
        <w:numPr>
          <w:ilvl w:val="1"/>
          <w:numId w:val="16"/>
        </w:numPr>
        <w:ind w:left="1134"/>
        <w:rPr>
          <w:rFonts w:cs="Arial"/>
          <w:noProof/>
          <w:szCs w:val="24"/>
        </w:rPr>
      </w:pPr>
      <w:r w:rsidRPr="008B7390">
        <w:rPr>
          <w:rFonts w:cs="Arial"/>
          <w:noProof/>
          <w:szCs w:val="24"/>
        </w:rPr>
        <w:t>V</w:t>
      </w:r>
      <w:r w:rsidR="00116966" w:rsidRPr="008B7390">
        <w:rPr>
          <w:rFonts w:cs="Arial"/>
          <w:noProof/>
          <w:szCs w:val="24"/>
        </w:rPr>
        <w:t>alidation</w:t>
      </w:r>
      <w:r w:rsidR="005B1B01" w:rsidRPr="008B7390">
        <w:rPr>
          <w:rFonts w:cs="Arial"/>
          <w:noProof/>
          <w:szCs w:val="24"/>
        </w:rPr>
        <w:t xml:space="preserve"> of new courses </w:t>
      </w:r>
      <w:r w:rsidR="00116966" w:rsidRPr="008B7390">
        <w:rPr>
          <w:rFonts w:cs="Arial"/>
          <w:i/>
          <w:noProof/>
          <w:szCs w:val="24"/>
        </w:rPr>
        <w:t>(</w:t>
      </w:r>
      <w:r w:rsidR="006471DA" w:rsidRPr="008B7390">
        <w:rPr>
          <w:rFonts w:cs="Arial"/>
          <w:i/>
          <w:noProof/>
          <w:szCs w:val="24"/>
        </w:rPr>
        <w:t>section C</w:t>
      </w:r>
      <w:r w:rsidR="00116966" w:rsidRPr="008B7390">
        <w:rPr>
          <w:rFonts w:cs="Arial"/>
          <w:i/>
          <w:noProof/>
          <w:szCs w:val="24"/>
        </w:rPr>
        <w:t>)</w:t>
      </w:r>
    </w:p>
    <w:p w14:paraId="5D775633" w14:textId="7701E232" w:rsidR="00116966" w:rsidRPr="003A17F3" w:rsidRDefault="007139C8" w:rsidP="004B1403">
      <w:pPr>
        <w:numPr>
          <w:ilvl w:val="1"/>
          <w:numId w:val="16"/>
        </w:numPr>
        <w:ind w:left="1134"/>
        <w:rPr>
          <w:rFonts w:cs="Arial"/>
          <w:noProof/>
          <w:szCs w:val="24"/>
        </w:rPr>
      </w:pPr>
      <w:r w:rsidRPr="008B7390">
        <w:rPr>
          <w:rFonts w:cs="Arial"/>
          <w:noProof/>
          <w:szCs w:val="24"/>
        </w:rPr>
        <w:t>Kingston Continuous Enhancement Process (KCEP)</w:t>
      </w:r>
      <w:r w:rsidR="008E0B24" w:rsidRPr="008B7390">
        <w:rPr>
          <w:rFonts w:cs="Arial"/>
          <w:noProof/>
          <w:szCs w:val="24"/>
        </w:rPr>
        <w:t xml:space="preserve"> </w:t>
      </w:r>
      <w:r w:rsidR="00116966" w:rsidRPr="008B7390">
        <w:rPr>
          <w:rFonts w:cs="Arial"/>
          <w:i/>
          <w:noProof/>
          <w:szCs w:val="24"/>
        </w:rPr>
        <w:t>(</w:t>
      </w:r>
      <w:r w:rsidR="006471DA" w:rsidRPr="008B7390">
        <w:rPr>
          <w:rFonts w:cs="Arial"/>
          <w:i/>
          <w:noProof/>
          <w:szCs w:val="24"/>
        </w:rPr>
        <w:t>section D</w:t>
      </w:r>
      <w:r w:rsidR="00116966" w:rsidRPr="008B7390">
        <w:rPr>
          <w:rFonts w:cs="Arial"/>
          <w:i/>
          <w:noProof/>
          <w:szCs w:val="24"/>
        </w:rPr>
        <w:t>)</w:t>
      </w:r>
    </w:p>
    <w:p w14:paraId="4910C778" w14:textId="6B5F26C5" w:rsidR="00066988" w:rsidRPr="008B7390" w:rsidRDefault="002B73F2" w:rsidP="004B1403">
      <w:pPr>
        <w:numPr>
          <w:ilvl w:val="1"/>
          <w:numId w:val="16"/>
        </w:numPr>
        <w:ind w:left="1134"/>
        <w:rPr>
          <w:rFonts w:cs="Arial"/>
          <w:noProof/>
          <w:szCs w:val="24"/>
        </w:rPr>
      </w:pPr>
      <w:r>
        <w:rPr>
          <w:rFonts w:cs="Arial"/>
          <w:iCs/>
          <w:noProof/>
          <w:szCs w:val="24"/>
        </w:rPr>
        <w:t xml:space="preserve">Substantive Review </w:t>
      </w:r>
      <w:r w:rsidRPr="003A17F3">
        <w:rPr>
          <w:rFonts w:cs="Arial"/>
          <w:i/>
          <w:noProof/>
          <w:szCs w:val="24"/>
        </w:rPr>
        <w:t>(section E)</w:t>
      </w:r>
    </w:p>
    <w:p w14:paraId="4632C462" w14:textId="1E4F8D21" w:rsidR="00116966" w:rsidRPr="008B7390" w:rsidRDefault="00D57B26" w:rsidP="004B1403">
      <w:pPr>
        <w:numPr>
          <w:ilvl w:val="1"/>
          <w:numId w:val="16"/>
        </w:numPr>
        <w:ind w:left="1134"/>
        <w:rPr>
          <w:rFonts w:cs="Arial"/>
          <w:noProof/>
          <w:szCs w:val="24"/>
        </w:rPr>
      </w:pPr>
      <w:r w:rsidRPr="008B7390">
        <w:rPr>
          <w:rFonts w:cs="Arial"/>
          <w:noProof/>
          <w:szCs w:val="24"/>
        </w:rPr>
        <w:t>I</w:t>
      </w:r>
      <w:r w:rsidR="00116966" w:rsidRPr="008B7390">
        <w:rPr>
          <w:rFonts w:cs="Arial"/>
          <w:noProof/>
          <w:szCs w:val="24"/>
        </w:rPr>
        <w:t xml:space="preserve">nternal </w:t>
      </w:r>
      <w:r w:rsidRPr="008B7390">
        <w:rPr>
          <w:rFonts w:cs="Arial"/>
          <w:noProof/>
          <w:szCs w:val="24"/>
        </w:rPr>
        <w:t>Q</w:t>
      </w:r>
      <w:r w:rsidR="00116966" w:rsidRPr="008B7390">
        <w:rPr>
          <w:rFonts w:cs="Arial"/>
          <w:noProof/>
          <w:szCs w:val="24"/>
        </w:rPr>
        <w:t xml:space="preserve">uality </w:t>
      </w:r>
      <w:r w:rsidRPr="008B7390">
        <w:rPr>
          <w:rFonts w:cs="Arial"/>
          <w:noProof/>
          <w:szCs w:val="24"/>
        </w:rPr>
        <w:t>A</w:t>
      </w:r>
      <w:r w:rsidR="00116966" w:rsidRPr="008B7390">
        <w:rPr>
          <w:rFonts w:cs="Arial"/>
          <w:noProof/>
          <w:szCs w:val="24"/>
        </w:rPr>
        <w:t xml:space="preserve">udit </w:t>
      </w:r>
      <w:r w:rsidR="008E0B24" w:rsidRPr="008B7390">
        <w:rPr>
          <w:rFonts w:cs="Arial"/>
          <w:noProof/>
          <w:szCs w:val="24"/>
        </w:rPr>
        <w:t xml:space="preserve">(IQA) </w:t>
      </w:r>
      <w:r w:rsidR="00116966" w:rsidRPr="008B7390">
        <w:rPr>
          <w:rFonts w:cs="Arial"/>
          <w:noProof/>
          <w:szCs w:val="24"/>
        </w:rPr>
        <w:t>(</w:t>
      </w:r>
      <w:r w:rsidR="006471DA" w:rsidRPr="008B7390">
        <w:rPr>
          <w:rFonts w:cs="Arial"/>
          <w:noProof/>
          <w:szCs w:val="24"/>
        </w:rPr>
        <w:t>s</w:t>
      </w:r>
      <w:r w:rsidR="006471DA" w:rsidRPr="008B7390">
        <w:rPr>
          <w:rFonts w:cs="Arial"/>
          <w:i/>
          <w:noProof/>
          <w:szCs w:val="24"/>
        </w:rPr>
        <w:t xml:space="preserve">ection </w:t>
      </w:r>
      <w:r w:rsidR="002B73F2">
        <w:rPr>
          <w:rFonts w:cs="Arial"/>
          <w:i/>
          <w:noProof/>
          <w:szCs w:val="24"/>
        </w:rPr>
        <w:t>F</w:t>
      </w:r>
      <w:r w:rsidR="00116966" w:rsidRPr="008B7390">
        <w:rPr>
          <w:rFonts w:cs="Arial"/>
          <w:noProof/>
          <w:szCs w:val="24"/>
        </w:rPr>
        <w:t>)</w:t>
      </w:r>
    </w:p>
    <w:p w14:paraId="604C1AFA" w14:textId="2E7FA8F2" w:rsidR="00116966" w:rsidRPr="008B7390" w:rsidRDefault="00D57B26" w:rsidP="004B1403">
      <w:pPr>
        <w:numPr>
          <w:ilvl w:val="1"/>
          <w:numId w:val="16"/>
        </w:numPr>
        <w:ind w:left="1134"/>
        <w:rPr>
          <w:rFonts w:cs="Arial"/>
          <w:noProof/>
          <w:szCs w:val="24"/>
        </w:rPr>
      </w:pPr>
      <w:r w:rsidRPr="008B7390">
        <w:rPr>
          <w:rFonts w:cs="Arial"/>
          <w:noProof/>
          <w:szCs w:val="24"/>
        </w:rPr>
        <w:t>C</w:t>
      </w:r>
      <w:r w:rsidR="00116966" w:rsidRPr="008B7390">
        <w:rPr>
          <w:rFonts w:cs="Arial"/>
          <w:noProof/>
          <w:szCs w:val="24"/>
        </w:rPr>
        <w:t xml:space="preserve">hanges to </w:t>
      </w:r>
      <w:r w:rsidR="00D03AE2" w:rsidRPr="008B7390">
        <w:rPr>
          <w:rFonts w:cs="Arial"/>
          <w:noProof/>
          <w:szCs w:val="24"/>
        </w:rPr>
        <w:t>courses</w:t>
      </w:r>
      <w:r w:rsidR="002B73F2">
        <w:rPr>
          <w:rFonts w:cs="Arial"/>
          <w:noProof/>
          <w:szCs w:val="24"/>
        </w:rPr>
        <w:t>,</w:t>
      </w:r>
      <w:r w:rsidR="007139C8" w:rsidRPr="008B7390">
        <w:rPr>
          <w:rFonts w:cs="Arial"/>
          <w:noProof/>
          <w:szCs w:val="24"/>
        </w:rPr>
        <w:t xml:space="preserve">modules </w:t>
      </w:r>
      <w:r w:rsidR="002B73F2">
        <w:rPr>
          <w:rFonts w:cs="Arial"/>
          <w:noProof/>
          <w:szCs w:val="24"/>
        </w:rPr>
        <w:t xml:space="preserve">and academic regulations </w:t>
      </w:r>
      <w:r w:rsidR="00116966" w:rsidRPr="008B7390">
        <w:rPr>
          <w:rFonts w:cs="Arial"/>
          <w:i/>
          <w:noProof/>
          <w:szCs w:val="24"/>
        </w:rPr>
        <w:t>(</w:t>
      </w:r>
      <w:r w:rsidR="006471DA" w:rsidRPr="008B7390">
        <w:rPr>
          <w:rFonts w:cs="Arial"/>
          <w:i/>
          <w:noProof/>
          <w:szCs w:val="24"/>
        </w:rPr>
        <w:t>section G</w:t>
      </w:r>
      <w:r w:rsidR="00116966" w:rsidRPr="008B7390">
        <w:rPr>
          <w:rFonts w:cs="Arial"/>
          <w:i/>
          <w:noProof/>
          <w:szCs w:val="24"/>
        </w:rPr>
        <w:t>)</w:t>
      </w:r>
    </w:p>
    <w:p w14:paraId="62B3DF21" w14:textId="7105381B" w:rsidR="00116966" w:rsidRPr="008B7390" w:rsidRDefault="00D57B26" w:rsidP="004B1403">
      <w:pPr>
        <w:numPr>
          <w:ilvl w:val="1"/>
          <w:numId w:val="16"/>
        </w:numPr>
        <w:ind w:left="1134"/>
        <w:rPr>
          <w:rFonts w:cs="Arial"/>
          <w:noProof/>
          <w:szCs w:val="24"/>
        </w:rPr>
      </w:pPr>
      <w:r w:rsidRPr="008B7390">
        <w:rPr>
          <w:rFonts w:cs="Arial"/>
          <w:noProof/>
          <w:szCs w:val="24"/>
        </w:rPr>
        <w:t>A</w:t>
      </w:r>
      <w:r w:rsidR="00116966" w:rsidRPr="008B7390">
        <w:rPr>
          <w:rFonts w:cs="Arial"/>
          <w:noProof/>
          <w:szCs w:val="24"/>
        </w:rPr>
        <w:t>ccreditation processes (</w:t>
      </w:r>
      <w:r w:rsidR="006471DA" w:rsidRPr="008B7390">
        <w:rPr>
          <w:rFonts w:cs="Arial"/>
          <w:i/>
          <w:noProof/>
          <w:szCs w:val="24"/>
        </w:rPr>
        <w:t>section H</w:t>
      </w:r>
      <w:r w:rsidR="00116966" w:rsidRPr="008B7390">
        <w:rPr>
          <w:rFonts w:cs="Arial"/>
          <w:noProof/>
          <w:szCs w:val="24"/>
        </w:rPr>
        <w:t>)</w:t>
      </w:r>
    </w:p>
    <w:p w14:paraId="2983EDED" w14:textId="704646C9" w:rsidR="005B1B01" w:rsidRPr="008B7390" w:rsidRDefault="00D57B26" w:rsidP="004B1403">
      <w:pPr>
        <w:numPr>
          <w:ilvl w:val="1"/>
          <w:numId w:val="16"/>
        </w:numPr>
        <w:ind w:left="1134"/>
        <w:rPr>
          <w:rFonts w:cs="Arial"/>
          <w:noProof/>
          <w:szCs w:val="24"/>
        </w:rPr>
      </w:pPr>
      <w:r w:rsidRPr="008B7390">
        <w:rPr>
          <w:rFonts w:cs="Arial"/>
          <w:noProof/>
          <w:szCs w:val="24"/>
        </w:rPr>
        <w:t>E</w:t>
      </w:r>
      <w:r w:rsidR="00116966" w:rsidRPr="008B7390">
        <w:rPr>
          <w:rFonts w:cs="Arial"/>
          <w:noProof/>
          <w:szCs w:val="24"/>
        </w:rPr>
        <w:t xml:space="preserve">xternal examiners </w:t>
      </w:r>
      <w:r w:rsidR="00116966" w:rsidRPr="008B7390">
        <w:rPr>
          <w:rFonts w:cs="Arial"/>
          <w:i/>
          <w:noProof/>
          <w:szCs w:val="24"/>
        </w:rPr>
        <w:t>(</w:t>
      </w:r>
      <w:r w:rsidR="006471DA" w:rsidRPr="008B7390">
        <w:rPr>
          <w:rFonts w:cs="Arial"/>
          <w:i/>
          <w:noProof/>
          <w:szCs w:val="24"/>
        </w:rPr>
        <w:t>section I</w:t>
      </w:r>
      <w:r w:rsidR="00116966" w:rsidRPr="008B7390">
        <w:rPr>
          <w:rFonts w:cs="Arial"/>
          <w:i/>
          <w:noProof/>
          <w:szCs w:val="24"/>
        </w:rPr>
        <w:t>)</w:t>
      </w:r>
    </w:p>
    <w:p w14:paraId="454B5704" w14:textId="53168B46" w:rsidR="00116966" w:rsidRPr="008B7390" w:rsidRDefault="00D57B26" w:rsidP="004B1403">
      <w:pPr>
        <w:numPr>
          <w:ilvl w:val="1"/>
          <w:numId w:val="16"/>
        </w:numPr>
        <w:ind w:left="1134"/>
        <w:rPr>
          <w:rFonts w:cs="Arial"/>
          <w:noProof/>
          <w:szCs w:val="24"/>
        </w:rPr>
      </w:pPr>
      <w:r w:rsidRPr="008B7390">
        <w:rPr>
          <w:rFonts w:cs="Arial"/>
          <w:noProof/>
          <w:szCs w:val="24"/>
        </w:rPr>
        <w:t>P</w:t>
      </w:r>
      <w:r w:rsidR="00116966" w:rsidRPr="008B7390">
        <w:rPr>
          <w:rFonts w:cs="Arial"/>
          <w:noProof/>
          <w:szCs w:val="24"/>
        </w:rPr>
        <w:t xml:space="preserve">rofessional, </w:t>
      </w:r>
      <w:r w:rsidRPr="008B7390">
        <w:rPr>
          <w:rFonts w:cs="Arial"/>
          <w:noProof/>
          <w:szCs w:val="24"/>
        </w:rPr>
        <w:t>S</w:t>
      </w:r>
      <w:r w:rsidR="00116966" w:rsidRPr="008B7390">
        <w:rPr>
          <w:rFonts w:cs="Arial"/>
          <w:noProof/>
          <w:szCs w:val="24"/>
        </w:rPr>
        <w:t xml:space="preserve">tatutory and </w:t>
      </w:r>
      <w:r w:rsidRPr="008B7390">
        <w:rPr>
          <w:rFonts w:cs="Arial"/>
          <w:noProof/>
          <w:szCs w:val="24"/>
        </w:rPr>
        <w:t>R</w:t>
      </w:r>
      <w:r w:rsidR="00116966" w:rsidRPr="008B7390">
        <w:rPr>
          <w:rFonts w:cs="Arial"/>
          <w:noProof/>
          <w:szCs w:val="24"/>
        </w:rPr>
        <w:t xml:space="preserve">egulatory </w:t>
      </w:r>
      <w:r w:rsidRPr="008B7390">
        <w:rPr>
          <w:rFonts w:cs="Arial"/>
          <w:noProof/>
          <w:szCs w:val="24"/>
        </w:rPr>
        <w:t>B</w:t>
      </w:r>
      <w:r w:rsidR="00116966" w:rsidRPr="008B7390">
        <w:rPr>
          <w:rFonts w:cs="Arial"/>
          <w:noProof/>
          <w:szCs w:val="24"/>
        </w:rPr>
        <w:t xml:space="preserve">ody </w:t>
      </w:r>
      <w:r w:rsidR="008E0B24" w:rsidRPr="008B7390">
        <w:rPr>
          <w:rFonts w:cs="Arial"/>
          <w:noProof/>
          <w:szCs w:val="24"/>
        </w:rPr>
        <w:t xml:space="preserve">(PSRB) </w:t>
      </w:r>
      <w:r w:rsidR="00116966" w:rsidRPr="008B7390">
        <w:rPr>
          <w:rFonts w:cs="Arial"/>
          <w:noProof/>
          <w:szCs w:val="24"/>
        </w:rPr>
        <w:t xml:space="preserve">accreditation or recognition </w:t>
      </w:r>
      <w:r w:rsidR="00116966" w:rsidRPr="008B7390">
        <w:rPr>
          <w:rFonts w:cs="Arial"/>
          <w:i/>
          <w:noProof/>
          <w:szCs w:val="24"/>
        </w:rPr>
        <w:t>(</w:t>
      </w:r>
      <w:r w:rsidR="006471DA" w:rsidRPr="008B7390">
        <w:rPr>
          <w:rFonts w:cs="Arial"/>
          <w:i/>
          <w:noProof/>
          <w:szCs w:val="24"/>
        </w:rPr>
        <w:t>section J</w:t>
      </w:r>
      <w:r w:rsidR="00116966" w:rsidRPr="008B7390">
        <w:rPr>
          <w:rFonts w:cs="Arial"/>
          <w:i/>
          <w:noProof/>
          <w:szCs w:val="24"/>
        </w:rPr>
        <w:t>)</w:t>
      </w:r>
    </w:p>
    <w:p w14:paraId="76561DF3" w14:textId="22E9D8D2" w:rsidR="00116966" w:rsidRPr="008B7390" w:rsidRDefault="00D57B26" w:rsidP="004B1403">
      <w:pPr>
        <w:numPr>
          <w:ilvl w:val="1"/>
          <w:numId w:val="16"/>
        </w:numPr>
        <w:ind w:left="1134"/>
        <w:rPr>
          <w:rFonts w:cs="Arial"/>
          <w:noProof/>
          <w:szCs w:val="24"/>
        </w:rPr>
      </w:pPr>
      <w:r w:rsidRPr="008B7390">
        <w:rPr>
          <w:rFonts w:cs="Arial"/>
          <w:noProof/>
          <w:szCs w:val="24"/>
        </w:rPr>
        <w:t>E</w:t>
      </w:r>
      <w:r w:rsidR="00116966" w:rsidRPr="008B7390">
        <w:rPr>
          <w:rFonts w:cs="Arial"/>
          <w:noProof/>
          <w:szCs w:val="24"/>
        </w:rPr>
        <w:t xml:space="preserve">xternal quality assurance and enhancement requirements </w:t>
      </w:r>
      <w:r w:rsidR="00116966" w:rsidRPr="008B7390">
        <w:rPr>
          <w:rFonts w:cs="Arial"/>
          <w:i/>
          <w:noProof/>
          <w:szCs w:val="24"/>
        </w:rPr>
        <w:t>(</w:t>
      </w:r>
      <w:r w:rsidR="006471DA" w:rsidRPr="008B7390">
        <w:rPr>
          <w:rFonts w:cs="Arial"/>
          <w:i/>
          <w:noProof/>
          <w:szCs w:val="24"/>
        </w:rPr>
        <w:t>section K</w:t>
      </w:r>
      <w:r w:rsidR="00116966" w:rsidRPr="008B7390">
        <w:rPr>
          <w:rFonts w:cs="Arial"/>
          <w:i/>
          <w:noProof/>
          <w:szCs w:val="24"/>
        </w:rPr>
        <w:t>)</w:t>
      </w:r>
    </w:p>
    <w:p w14:paraId="60C7E9E3" w14:textId="11C154A7" w:rsidR="00116966" w:rsidRPr="008B7390" w:rsidRDefault="00D57B26" w:rsidP="004B1403">
      <w:pPr>
        <w:numPr>
          <w:ilvl w:val="1"/>
          <w:numId w:val="16"/>
        </w:numPr>
        <w:ind w:left="1134"/>
        <w:rPr>
          <w:rFonts w:cs="Arial"/>
          <w:noProof/>
          <w:szCs w:val="24"/>
        </w:rPr>
      </w:pPr>
      <w:r w:rsidRPr="008B7390">
        <w:rPr>
          <w:rFonts w:cs="Arial"/>
          <w:noProof/>
          <w:szCs w:val="24"/>
        </w:rPr>
        <w:t>S</w:t>
      </w:r>
      <w:r w:rsidR="00116966" w:rsidRPr="008B7390">
        <w:rPr>
          <w:rFonts w:cs="Arial"/>
          <w:noProof/>
          <w:szCs w:val="24"/>
        </w:rPr>
        <w:t xml:space="preserve">tudent </w:t>
      </w:r>
      <w:r w:rsidR="00FF3D30" w:rsidRPr="008B7390">
        <w:rPr>
          <w:rFonts w:cs="Arial"/>
          <w:noProof/>
          <w:szCs w:val="24"/>
        </w:rPr>
        <w:t>v</w:t>
      </w:r>
      <w:r w:rsidR="008E1689" w:rsidRPr="008B7390">
        <w:rPr>
          <w:rFonts w:cs="Arial"/>
          <w:noProof/>
          <w:szCs w:val="24"/>
        </w:rPr>
        <w:t>oice</w:t>
      </w:r>
      <w:r w:rsidR="008E1689" w:rsidRPr="008B7390">
        <w:rPr>
          <w:rFonts w:cs="Arial"/>
          <w:noProof/>
          <w:color w:val="FF0000"/>
          <w:szCs w:val="24"/>
        </w:rPr>
        <w:t xml:space="preserve"> </w:t>
      </w:r>
      <w:r w:rsidR="00116966" w:rsidRPr="008B7390">
        <w:rPr>
          <w:rFonts w:cs="Arial"/>
          <w:noProof/>
          <w:szCs w:val="24"/>
        </w:rPr>
        <w:t>(</w:t>
      </w:r>
      <w:r w:rsidR="006471DA" w:rsidRPr="008B7390">
        <w:rPr>
          <w:rFonts w:cs="Arial"/>
          <w:i/>
          <w:noProof/>
          <w:szCs w:val="24"/>
        </w:rPr>
        <w:t>section L</w:t>
      </w:r>
      <w:r w:rsidR="00116966" w:rsidRPr="008B7390">
        <w:rPr>
          <w:rFonts w:cs="Arial"/>
          <w:noProof/>
          <w:szCs w:val="24"/>
        </w:rPr>
        <w:t>)</w:t>
      </w:r>
    </w:p>
    <w:p w14:paraId="706497FB" w14:textId="3E73CA55" w:rsidR="00116966" w:rsidRPr="008B7390" w:rsidRDefault="00D57B26" w:rsidP="004B1403">
      <w:pPr>
        <w:numPr>
          <w:ilvl w:val="1"/>
          <w:numId w:val="16"/>
        </w:numPr>
        <w:ind w:left="1134"/>
        <w:rPr>
          <w:rFonts w:cs="Arial"/>
          <w:noProof/>
          <w:szCs w:val="24"/>
        </w:rPr>
      </w:pPr>
      <w:r w:rsidRPr="008B7390">
        <w:rPr>
          <w:rFonts w:cs="Arial"/>
          <w:noProof/>
          <w:szCs w:val="24"/>
        </w:rPr>
        <w:t>R</w:t>
      </w:r>
      <w:r w:rsidR="00116966" w:rsidRPr="008B7390">
        <w:rPr>
          <w:rFonts w:cs="Arial"/>
          <w:noProof/>
          <w:szCs w:val="24"/>
        </w:rPr>
        <w:t>esearch degrees (</w:t>
      </w:r>
      <w:r w:rsidR="006471DA" w:rsidRPr="008B7390">
        <w:rPr>
          <w:rFonts w:cs="Arial"/>
          <w:i/>
          <w:noProof/>
          <w:szCs w:val="24"/>
        </w:rPr>
        <w:t>section M</w:t>
      </w:r>
      <w:r w:rsidR="00116966" w:rsidRPr="008B7390">
        <w:rPr>
          <w:rFonts w:cs="Arial"/>
          <w:noProof/>
          <w:szCs w:val="24"/>
        </w:rPr>
        <w:t>)</w:t>
      </w:r>
    </w:p>
    <w:p w14:paraId="1AF8A664" w14:textId="69682767" w:rsidR="009957F2" w:rsidRDefault="00D57B26" w:rsidP="004B1403">
      <w:pPr>
        <w:numPr>
          <w:ilvl w:val="1"/>
          <w:numId w:val="16"/>
        </w:numPr>
        <w:ind w:left="1134"/>
        <w:rPr>
          <w:rFonts w:cs="Arial"/>
          <w:noProof/>
          <w:szCs w:val="24"/>
        </w:rPr>
      </w:pPr>
      <w:r w:rsidRPr="008B7390">
        <w:rPr>
          <w:rFonts w:cs="Arial"/>
          <w:noProof/>
          <w:szCs w:val="24"/>
        </w:rPr>
        <w:t>S</w:t>
      </w:r>
      <w:r w:rsidR="00AA65B0" w:rsidRPr="008B7390">
        <w:rPr>
          <w:rFonts w:cs="Arial"/>
          <w:noProof/>
          <w:szCs w:val="24"/>
        </w:rPr>
        <w:t>tudent mobility (</w:t>
      </w:r>
      <w:r w:rsidR="00AA65B0" w:rsidRPr="008B7390">
        <w:rPr>
          <w:rFonts w:cs="Arial"/>
          <w:i/>
          <w:noProof/>
          <w:szCs w:val="24"/>
        </w:rPr>
        <w:t>section N</w:t>
      </w:r>
      <w:r w:rsidR="00AA65B0" w:rsidRPr="008B7390">
        <w:rPr>
          <w:rFonts w:cs="Arial"/>
          <w:noProof/>
          <w:szCs w:val="24"/>
        </w:rPr>
        <w:t>)</w:t>
      </w:r>
      <w:bookmarkStart w:id="11" w:name="Section_A_QAA"/>
      <w:bookmarkEnd w:id="11"/>
    </w:p>
    <w:p w14:paraId="29E0443A" w14:textId="70C9B310" w:rsidR="006878B3" w:rsidRPr="008B7390" w:rsidRDefault="00D06497" w:rsidP="004B1403">
      <w:pPr>
        <w:numPr>
          <w:ilvl w:val="1"/>
          <w:numId w:val="16"/>
        </w:numPr>
        <w:ind w:left="1134"/>
        <w:rPr>
          <w:rFonts w:cs="Arial"/>
          <w:noProof/>
          <w:szCs w:val="24"/>
        </w:rPr>
      </w:pPr>
      <w:r>
        <w:rPr>
          <w:rFonts w:cs="Arial"/>
          <w:noProof/>
          <w:szCs w:val="24"/>
        </w:rPr>
        <w:t>Committees, Groups and Panels Terms of Reference (</w:t>
      </w:r>
      <w:r>
        <w:rPr>
          <w:rFonts w:cs="Arial"/>
          <w:i/>
          <w:iCs/>
          <w:noProof/>
          <w:szCs w:val="24"/>
        </w:rPr>
        <w:t>section O)</w:t>
      </w:r>
    </w:p>
    <w:p w14:paraId="45D09B05" w14:textId="271BF14D" w:rsidR="009957F2" w:rsidRPr="009957F2" w:rsidRDefault="00116966" w:rsidP="00E23364">
      <w:pPr>
        <w:pStyle w:val="Heading2"/>
        <w:rPr>
          <w:noProof/>
        </w:rPr>
      </w:pPr>
      <w:bookmarkStart w:id="12" w:name="_Toc795825944"/>
      <w:r w:rsidRPr="650714C8">
        <w:rPr>
          <w:noProof/>
        </w:rPr>
        <w:lastRenderedPageBreak/>
        <w:t>Quality Assurance and Enhancement Processes and Structures</w:t>
      </w:r>
      <w:bookmarkEnd w:id="12"/>
      <w:r w:rsidRPr="650714C8">
        <w:rPr>
          <w:noProof/>
        </w:rPr>
        <w:t xml:space="preserve"> </w:t>
      </w:r>
    </w:p>
    <w:p w14:paraId="46590122" w14:textId="769E7E58" w:rsidR="00D25016" w:rsidRPr="00B37296" w:rsidRDefault="00116966" w:rsidP="008B7390">
      <w:pPr>
        <w:pStyle w:val="ListParagraph"/>
        <w:numPr>
          <w:ilvl w:val="0"/>
          <w:numId w:val="23"/>
        </w:numPr>
        <w:ind w:hanging="436"/>
        <w:rPr>
          <w:noProof/>
        </w:rPr>
      </w:pPr>
      <w:r w:rsidRPr="002F00EC">
        <w:rPr>
          <w:noProof/>
        </w:rPr>
        <w:t>The University’s approach to managing academic standards and quality is through both the executive and deliberative structures of the University and operates with</w:t>
      </w:r>
      <w:r w:rsidR="005B1B01" w:rsidRPr="002F00EC">
        <w:rPr>
          <w:noProof/>
        </w:rPr>
        <w:t>in</w:t>
      </w:r>
      <w:r w:rsidRPr="002F00EC">
        <w:rPr>
          <w:noProof/>
        </w:rPr>
        <w:t xml:space="preserve"> the </w:t>
      </w:r>
      <w:r w:rsidRPr="00B37296">
        <w:rPr>
          <w:noProof/>
        </w:rPr>
        <w:t xml:space="preserve">framework set out in the Policy on Academic Standards and Quality (available from the KU </w:t>
      </w:r>
      <w:hyperlink r:id="rId14" w:history="1">
        <w:r w:rsidRPr="00A750B8">
          <w:rPr>
            <w:rStyle w:val="Hyperlink"/>
            <w:rFonts w:cs="Arial"/>
            <w:noProof/>
            <w:color w:val="auto"/>
            <w:szCs w:val="24"/>
          </w:rPr>
          <w:t>Policy and Regulations page</w:t>
        </w:r>
      </w:hyperlink>
      <w:r w:rsidRPr="0098278F">
        <w:rPr>
          <w:i/>
          <w:noProof/>
        </w:rPr>
        <w:t xml:space="preserve">) </w:t>
      </w:r>
      <w:r w:rsidRPr="00B37296">
        <w:rPr>
          <w:noProof/>
        </w:rPr>
        <w:t xml:space="preserve">which covers the: </w:t>
      </w:r>
    </w:p>
    <w:p w14:paraId="27AD6349" w14:textId="31443666" w:rsidR="00116966" w:rsidRPr="002F00EC" w:rsidRDefault="00BA1544" w:rsidP="004B1403">
      <w:pPr>
        <w:numPr>
          <w:ilvl w:val="1"/>
          <w:numId w:val="18"/>
        </w:numPr>
        <w:ind w:left="1134"/>
        <w:rPr>
          <w:noProof/>
        </w:rPr>
      </w:pPr>
      <w:r w:rsidRPr="00B37296">
        <w:rPr>
          <w:noProof/>
        </w:rPr>
        <w:t>Academic Quality and Standards Handbook</w:t>
      </w:r>
      <w:r w:rsidR="00116966" w:rsidRPr="00B37296">
        <w:rPr>
          <w:noProof/>
        </w:rPr>
        <w:t xml:space="preserve"> </w:t>
      </w:r>
      <w:r w:rsidR="00116966" w:rsidRPr="002F00EC">
        <w:rPr>
          <w:noProof/>
        </w:rPr>
        <w:t>(AQSH)</w:t>
      </w:r>
    </w:p>
    <w:p w14:paraId="41C6B944" w14:textId="20E7A669" w:rsidR="00116966" w:rsidRPr="002F00EC" w:rsidRDefault="00116966" w:rsidP="004B1403">
      <w:pPr>
        <w:numPr>
          <w:ilvl w:val="1"/>
          <w:numId w:val="18"/>
        </w:numPr>
        <w:ind w:left="1134"/>
        <w:rPr>
          <w:noProof/>
        </w:rPr>
      </w:pPr>
      <w:r w:rsidRPr="002F00EC">
        <w:rPr>
          <w:noProof/>
        </w:rPr>
        <w:t xml:space="preserve">Regulations for Taught and Research Degree provision; and </w:t>
      </w:r>
    </w:p>
    <w:p w14:paraId="54615667" w14:textId="3AAC24C9" w:rsidR="009957F2" w:rsidRPr="00EE5295" w:rsidRDefault="00F12091" w:rsidP="004B1403">
      <w:pPr>
        <w:numPr>
          <w:ilvl w:val="1"/>
          <w:numId w:val="18"/>
        </w:numPr>
        <w:ind w:left="1134"/>
        <w:rPr>
          <w:noProof/>
        </w:rPr>
      </w:pPr>
      <w:r>
        <w:rPr>
          <w:noProof/>
        </w:rPr>
        <w:t>The Town House Strategy</w:t>
      </w:r>
      <w:r w:rsidR="005B1B01" w:rsidRPr="002F00EC">
        <w:rPr>
          <w:noProof/>
        </w:rPr>
        <w:t xml:space="preserve"> </w:t>
      </w:r>
      <w:r w:rsidR="00116966" w:rsidRPr="002F00EC">
        <w:rPr>
          <w:noProof/>
        </w:rPr>
        <w:t>and related documents</w:t>
      </w:r>
    </w:p>
    <w:p w14:paraId="700C2A67" w14:textId="671A3499" w:rsidR="009957F2" w:rsidRPr="009957F2" w:rsidRDefault="00116966" w:rsidP="00FC307D">
      <w:pPr>
        <w:pStyle w:val="Heading2"/>
        <w:rPr>
          <w:noProof/>
        </w:rPr>
      </w:pPr>
      <w:bookmarkStart w:id="13" w:name="Section_A_Para4"/>
      <w:bookmarkStart w:id="14" w:name="_Toc683653162"/>
      <w:bookmarkEnd w:id="13"/>
      <w:r w:rsidRPr="650714C8">
        <w:rPr>
          <w:noProof/>
        </w:rPr>
        <w:t>The University’s Management Structure</w:t>
      </w:r>
      <w:bookmarkEnd w:id="14"/>
    </w:p>
    <w:p w14:paraId="4C37D00F" w14:textId="1F158F35" w:rsidR="00D25016" w:rsidRPr="008B7390" w:rsidRDefault="00116966" w:rsidP="008B7390">
      <w:pPr>
        <w:pStyle w:val="ListParagraph"/>
        <w:numPr>
          <w:ilvl w:val="0"/>
          <w:numId w:val="23"/>
        </w:numPr>
        <w:ind w:hanging="436"/>
        <w:rPr>
          <w:noProof/>
          <w:szCs w:val="24"/>
        </w:rPr>
      </w:pPr>
      <w:r w:rsidRPr="0098278F">
        <w:rPr>
          <w:noProof/>
          <w:szCs w:val="24"/>
        </w:rPr>
        <w:t>The University is led by the Vice-Chancellor (VC), supported b</w:t>
      </w:r>
      <w:r w:rsidR="00392142" w:rsidRPr="0098278F">
        <w:rPr>
          <w:noProof/>
          <w:szCs w:val="24"/>
        </w:rPr>
        <w:t>y the Senior Leadership Team (SL</w:t>
      </w:r>
      <w:r w:rsidRPr="0098278F">
        <w:rPr>
          <w:noProof/>
          <w:szCs w:val="24"/>
        </w:rPr>
        <w:t>T) which comprises the:</w:t>
      </w:r>
    </w:p>
    <w:p w14:paraId="185A377A" w14:textId="77777777" w:rsidR="003415E9" w:rsidRDefault="00A6531F" w:rsidP="0042042E">
      <w:pPr>
        <w:numPr>
          <w:ilvl w:val="0"/>
          <w:numId w:val="19"/>
        </w:numPr>
        <w:rPr>
          <w:noProof/>
          <w:szCs w:val="24"/>
        </w:rPr>
      </w:pPr>
      <w:r w:rsidRPr="00C35175">
        <w:rPr>
          <w:noProof/>
          <w:szCs w:val="24"/>
        </w:rPr>
        <w:t>Provost</w:t>
      </w:r>
      <w:r w:rsidR="00D67F79">
        <w:rPr>
          <w:noProof/>
          <w:szCs w:val="24"/>
        </w:rPr>
        <w:t xml:space="preserve"> </w:t>
      </w:r>
    </w:p>
    <w:p w14:paraId="4BA7BA11" w14:textId="09A34145" w:rsidR="00A6531F" w:rsidRPr="00C35175" w:rsidRDefault="00D67F79" w:rsidP="0042042E">
      <w:pPr>
        <w:numPr>
          <w:ilvl w:val="0"/>
          <w:numId w:val="19"/>
        </w:numPr>
        <w:rPr>
          <w:noProof/>
          <w:szCs w:val="24"/>
        </w:rPr>
      </w:pPr>
      <w:r>
        <w:rPr>
          <w:noProof/>
          <w:szCs w:val="24"/>
        </w:rPr>
        <w:t>Deputy Vice-Chancellor</w:t>
      </w:r>
    </w:p>
    <w:p w14:paraId="37E6B8FB" w14:textId="26F9215E" w:rsidR="00392142" w:rsidRPr="003E52EF" w:rsidRDefault="00466319" w:rsidP="003E52EF">
      <w:pPr>
        <w:numPr>
          <w:ilvl w:val="0"/>
          <w:numId w:val="19"/>
        </w:numPr>
        <w:rPr>
          <w:noProof/>
          <w:szCs w:val="24"/>
        </w:rPr>
      </w:pPr>
      <w:r>
        <w:rPr>
          <w:noProof/>
          <w:szCs w:val="24"/>
        </w:rPr>
        <w:t xml:space="preserve">Chief </w:t>
      </w:r>
      <w:r w:rsidR="00933D46">
        <w:rPr>
          <w:noProof/>
          <w:szCs w:val="24"/>
        </w:rPr>
        <w:t>Operating Officer</w:t>
      </w:r>
    </w:p>
    <w:p w14:paraId="29535492" w14:textId="73A901B5" w:rsidR="005F47D3" w:rsidRDefault="003E52EF" w:rsidP="0042042E">
      <w:pPr>
        <w:numPr>
          <w:ilvl w:val="0"/>
          <w:numId w:val="19"/>
        </w:numPr>
        <w:rPr>
          <w:noProof/>
          <w:szCs w:val="24"/>
        </w:rPr>
      </w:pPr>
      <w:r>
        <w:rPr>
          <w:noProof/>
          <w:szCs w:val="24"/>
        </w:rPr>
        <w:t>Executive Director for Student Services</w:t>
      </w:r>
    </w:p>
    <w:p w14:paraId="18A2E987" w14:textId="2DC26884" w:rsidR="00A44DB0" w:rsidRDefault="00A44DB0" w:rsidP="0042042E">
      <w:pPr>
        <w:numPr>
          <w:ilvl w:val="0"/>
          <w:numId w:val="19"/>
        </w:numPr>
        <w:rPr>
          <w:noProof/>
          <w:szCs w:val="24"/>
        </w:rPr>
      </w:pPr>
      <w:r>
        <w:rPr>
          <w:noProof/>
          <w:szCs w:val="24"/>
        </w:rPr>
        <w:t>University Secretary</w:t>
      </w:r>
    </w:p>
    <w:p w14:paraId="74B352D6" w14:textId="77777777" w:rsidR="009957F2" w:rsidRPr="00C35175" w:rsidRDefault="009957F2" w:rsidP="009957F2">
      <w:pPr>
        <w:ind w:left="1080"/>
        <w:rPr>
          <w:noProof/>
          <w:szCs w:val="24"/>
        </w:rPr>
      </w:pPr>
    </w:p>
    <w:p w14:paraId="40645DC6" w14:textId="1E7DDCEC" w:rsidR="00116966" w:rsidRDefault="00116966" w:rsidP="00FC307D">
      <w:pPr>
        <w:pStyle w:val="ListParagraph"/>
        <w:numPr>
          <w:ilvl w:val="0"/>
          <w:numId w:val="23"/>
        </w:numPr>
        <w:ind w:hanging="436"/>
        <w:rPr>
          <w:noProof/>
          <w:szCs w:val="24"/>
        </w:rPr>
      </w:pPr>
      <w:r w:rsidRPr="0098278F">
        <w:rPr>
          <w:noProof/>
          <w:szCs w:val="24"/>
        </w:rPr>
        <w:t>Overall management responsibility for the quality and standards of all awards lies with the Vic</w:t>
      </w:r>
      <w:r w:rsidR="005B1B01" w:rsidRPr="0098278F">
        <w:rPr>
          <w:noProof/>
          <w:szCs w:val="24"/>
        </w:rPr>
        <w:t>e-Chancellor.</w:t>
      </w:r>
    </w:p>
    <w:p w14:paraId="5D9102E7" w14:textId="77777777" w:rsidR="009957F2" w:rsidRPr="0098278F" w:rsidRDefault="009957F2" w:rsidP="009957F2">
      <w:pPr>
        <w:pStyle w:val="ListParagraph"/>
        <w:rPr>
          <w:noProof/>
          <w:szCs w:val="24"/>
        </w:rPr>
      </w:pPr>
    </w:p>
    <w:p w14:paraId="0DCDA9F7" w14:textId="59D8A558" w:rsidR="009957F2" w:rsidRPr="00FC307D" w:rsidRDefault="00116966" w:rsidP="00FC307D">
      <w:pPr>
        <w:pStyle w:val="ListParagraph"/>
        <w:numPr>
          <w:ilvl w:val="0"/>
          <w:numId w:val="23"/>
        </w:numPr>
        <w:ind w:hanging="436"/>
        <w:rPr>
          <w:noProof/>
          <w:szCs w:val="24"/>
        </w:rPr>
      </w:pPr>
      <w:r w:rsidRPr="0098278F">
        <w:rPr>
          <w:noProof/>
          <w:szCs w:val="24"/>
        </w:rPr>
        <w:t xml:space="preserve">Further details on how the </w:t>
      </w:r>
      <w:r w:rsidR="005B1B01" w:rsidRPr="0098278F">
        <w:rPr>
          <w:noProof/>
          <w:szCs w:val="24"/>
        </w:rPr>
        <w:t>S</w:t>
      </w:r>
      <w:r w:rsidR="00CA375A" w:rsidRPr="0098278F">
        <w:rPr>
          <w:noProof/>
          <w:szCs w:val="24"/>
        </w:rPr>
        <w:t>L</w:t>
      </w:r>
      <w:r w:rsidR="005B1B01" w:rsidRPr="0098278F">
        <w:rPr>
          <w:noProof/>
          <w:szCs w:val="24"/>
        </w:rPr>
        <w:t>T</w:t>
      </w:r>
      <w:r w:rsidRPr="0098278F">
        <w:rPr>
          <w:noProof/>
          <w:szCs w:val="24"/>
        </w:rPr>
        <w:t xml:space="preserve"> portfolio is balanced can be found on </w:t>
      </w:r>
      <w:hyperlink r:id="rId15" w:history="1">
        <w:r w:rsidRPr="0098278F">
          <w:rPr>
            <w:rStyle w:val="Hyperlink"/>
            <w:rFonts w:cs="Arial"/>
            <w:noProof/>
            <w:color w:val="auto"/>
            <w:szCs w:val="24"/>
          </w:rPr>
          <w:t>Kingston University’s Internet site</w:t>
        </w:r>
      </w:hyperlink>
    </w:p>
    <w:p w14:paraId="6C90DB7D" w14:textId="270339AA" w:rsidR="009957F2" w:rsidRPr="009957F2" w:rsidRDefault="00A6531F" w:rsidP="00FC307D">
      <w:pPr>
        <w:pStyle w:val="Heading2"/>
        <w:rPr>
          <w:noProof/>
        </w:rPr>
      </w:pPr>
      <w:bookmarkStart w:id="15" w:name="Section_A_Para7"/>
      <w:bookmarkStart w:id="16" w:name="_Toc528480139"/>
      <w:bookmarkEnd w:id="15"/>
      <w:r w:rsidRPr="650714C8">
        <w:rPr>
          <w:noProof/>
        </w:rPr>
        <w:t xml:space="preserve">Academic Council </w:t>
      </w:r>
      <w:r w:rsidR="00116966" w:rsidRPr="650714C8">
        <w:rPr>
          <w:noProof/>
        </w:rPr>
        <w:t>and its sub-committees</w:t>
      </w:r>
      <w:bookmarkEnd w:id="16"/>
    </w:p>
    <w:p w14:paraId="0084B38E" w14:textId="3E6BF93B" w:rsidR="00C2677A" w:rsidRPr="008B7390" w:rsidRDefault="00116966" w:rsidP="008B7390">
      <w:pPr>
        <w:pStyle w:val="ListParagraph"/>
        <w:numPr>
          <w:ilvl w:val="0"/>
          <w:numId w:val="23"/>
        </w:numPr>
        <w:ind w:hanging="436"/>
        <w:rPr>
          <w:rFonts w:cs="Arial"/>
          <w:noProof/>
          <w:szCs w:val="24"/>
        </w:rPr>
      </w:pPr>
      <w:r w:rsidRPr="0098278F">
        <w:rPr>
          <w:rFonts w:cs="Arial"/>
          <w:noProof/>
          <w:szCs w:val="24"/>
        </w:rPr>
        <w:t>Deliberative consideration of academic standards and quality matters is undertaken at University</w:t>
      </w:r>
      <w:r w:rsidR="00A87625" w:rsidRPr="0098278F">
        <w:rPr>
          <w:rFonts w:cs="Arial"/>
          <w:noProof/>
          <w:szCs w:val="24"/>
        </w:rPr>
        <w:t>-</w:t>
      </w:r>
      <w:r w:rsidRPr="0098278F">
        <w:rPr>
          <w:rFonts w:cs="Arial"/>
          <w:noProof/>
          <w:szCs w:val="24"/>
        </w:rPr>
        <w:t xml:space="preserve">level by </w:t>
      </w:r>
      <w:r w:rsidR="00CF2BFF" w:rsidRPr="0098278F">
        <w:rPr>
          <w:rFonts w:cs="Arial"/>
          <w:noProof/>
          <w:szCs w:val="24"/>
        </w:rPr>
        <w:t xml:space="preserve">Academic Council </w:t>
      </w:r>
      <w:r w:rsidRPr="0098278F">
        <w:rPr>
          <w:rFonts w:cs="Arial"/>
          <w:noProof/>
          <w:szCs w:val="24"/>
        </w:rPr>
        <w:t>and its sub-committees which:</w:t>
      </w:r>
    </w:p>
    <w:p w14:paraId="3948CDAD" w14:textId="2374BA63" w:rsidR="00116966" w:rsidRPr="009957F2" w:rsidRDefault="00116966" w:rsidP="009957F2">
      <w:pPr>
        <w:numPr>
          <w:ilvl w:val="0"/>
          <w:numId w:val="19"/>
        </w:numPr>
        <w:rPr>
          <w:noProof/>
          <w:szCs w:val="24"/>
        </w:rPr>
      </w:pPr>
      <w:r w:rsidRPr="009957F2">
        <w:rPr>
          <w:noProof/>
          <w:szCs w:val="24"/>
        </w:rPr>
        <w:t>provide direction for quality assurance and enhancement, curriculum development, and the enhancement of pedagogical practice</w:t>
      </w:r>
    </w:p>
    <w:p w14:paraId="3907387F" w14:textId="501F3524" w:rsidR="00116966" w:rsidRPr="009957F2" w:rsidRDefault="00116966" w:rsidP="009957F2">
      <w:pPr>
        <w:numPr>
          <w:ilvl w:val="0"/>
          <w:numId w:val="19"/>
        </w:numPr>
        <w:rPr>
          <w:noProof/>
          <w:szCs w:val="24"/>
        </w:rPr>
      </w:pPr>
      <w:r w:rsidRPr="009957F2">
        <w:rPr>
          <w:noProof/>
          <w:szCs w:val="24"/>
        </w:rPr>
        <w:t>develop and approve changes to relevant policies and strategies</w:t>
      </w:r>
    </w:p>
    <w:p w14:paraId="650F2106" w14:textId="5846835D" w:rsidR="00116966" w:rsidRPr="009957F2" w:rsidRDefault="00116966" w:rsidP="009957F2">
      <w:pPr>
        <w:numPr>
          <w:ilvl w:val="0"/>
          <w:numId w:val="19"/>
        </w:numPr>
        <w:rPr>
          <w:noProof/>
          <w:szCs w:val="24"/>
        </w:rPr>
      </w:pPr>
      <w:r w:rsidRPr="009957F2">
        <w:rPr>
          <w:noProof/>
          <w:szCs w:val="24"/>
        </w:rPr>
        <w:t>approve amendments to the academic regulations</w:t>
      </w:r>
      <w:r w:rsidR="00211316" w:rsidRPr="009957F2">
        <w:rPr>
          <w:noProof/>
          <w:szCs w:val="24"/>
        </w:rPr>
        <w:t xml:space="preserve">, </w:t>
      </w:r>
      <w:r w:rsidRPr="009957F2">
        <w:rPr>
          <w:noProof/>
          <w:szCs w:val="24"/>
        </w:rPr>
        <w:t xml:space="preserve">academic quality procedures, and related documentation </w:t>
      </w:r>
    </w:p>
    <w:p w14:paraId="1E84E693" w14:textId="23A6E780" w:rsidR="00116966" w:rsidRDefault="00116966" w:rsidP="009957F2">
      <w:pPr>
        <w:numPr>
          <w:ilvl w:val="0"/>
          <w:numId w:val="19"/>
        </w:numPr>
        <w:rPr>
          <w:noProof/>
          <w:szCs w:val="24"/>
        </w:rPr>
      </w:pPr>
      <w:r w:rsidRPr="009957F2">
        <w:rPr>
          <w:noProof/>
          <w:szCs w:val="24"/>
        </w:rPr>
        <w:t>receive and consider reports on outcomes from, and the effectiveness of, quality assurance and enhancement and curriculum development</w:t>
      </w:r>
    </w:p>
    <w:p w14:paraId="550BDD62" w14:textId="77777777" w:rsidR="009957F2" w:rsidRPr="009957F2" w:rsidRDefault="009957F2" w:rsidP="009957F2">
      <w:pPr>
        <w:ind w:left="1080"/>
        <w:rPr>
          <w:noProof/>
          <w:szCs w:val="24"/>
        </w:rPr>
      </w:pPr>
    </w:p>
    <w:p w14:paraId="792FA537" w14:textId="6DC38189" w:rsidR="009957F2" w:rsidRPr="008B7390" w:rsidRDefault="00116966" w:rsidP="008B7390">
      <w:pPr>
        <w:pStyle w:val="ListParagraph"/>
        <w:numPr>
          <w:ilvl w:val="0"/>
          <w:numId w:val="23"/>
        </w:numPr>
        <w:adjustRightInd w:val="0"/>
        <w:ind w:hanging="436"/>
        <w:rPr>
          <w:rFonts w:cs="Arial"/>
          <w:noProof/>
          <w:szCs w:val="24"/>
        </w:rPr>
      </w:pPr>
      <w:r w:rsidRPr="0098278F">
        <w:rPr>
          <w:rFonts w:cs="Arial"/>
          <w:noProof/>
          <w:szCs w:val="24"/>
        </w:rPr>
        <w:t>The key University level sub-committees of</w:t>
      </w:r>
      <w:r w:rsidR="005B1B01" w:rsidRPr="0098278F">
        <w:rPr>
          <w:rFonts w:cs="Arial"/>
          <w:noProof/>
          <w:szCs w:val="24"/>
        </w:rPr>
        <w:t xml:space="preserve"> </w:t>
      </w:r>
      <w:r w:rsidR="00CF2BFF" w:rsidRPr="0098278F">
        <w:rPr>
          <w:rFonts w:cs="Arial"/>
          <w:noProof/>
          <w:szCs w:val="24"/>
        </w:rPr>
        <w:t xml:space="preserve">Academic Council </w:t>
      </w:r>
      <w:r w:rsidRPr="0098278F">
        <w:rPr>
          <w:rFonts w:cs="Arial"/>
          <w:noProof/>
          <w:szCs w:val="24"/>
        </w:rPr>
        <w:t>with roles in academic quality management include the following:</w:t>
      </w:r>
    </w:p>
    <w:p w14:paraId="04AF8FAF" w14:textId="5E27D64F" w:rsidR="00757829" w:rsidRDefault="00757829" w:rsidP="00757829">
      <w:pPr>
        <w:widowControl/>
        <w:numPr>
          <w:ilvl w:val="0"/>
          <w:numId w:val="8"/>
        </w:numPr>
        <w:tabs>
          <w:tab w:val="left" w:pos="-426"/>
        </w:tabs>
        <w:ind w:left="1134" w:hanging="425"/>
        <w:rPr>
          <w:rFonts w:cs="Arial"/>
          <w:noProof/>
          <w:szCs w:val="24"/>
        </w:rPr>
      </w:pPr>
      <w:r w:rsidRPr="00C35175">
        <w:rPr>
          <w:rFonts w:cs="Arial"/>
          <w:noProof/>
          <w:szCs w:val="24"/>
        </w:rPr>
        <w:t>Education Committee (EC)</w:t>
      </w:r>
    </w:p>
    <w:p w14:paraId="4FEF31C1" w14:textId="3438DE29" w:rsidR="00116966" w:rsidRPr="00C35175" w:rsidRDefault="00560E03" w:rsidP="00757829">
      <w:pPr>
        <w:widowControl/>
        <w:numPr>
          <w:ilvl w:val="0"/>
          <w:numId w:val="8"/>
        </w:numPr>
        <w:tabs>
          <w:tab w:val="left" w:pos="-426"/>
        </w:tabs>
        <w:ind w:left="1134" w:hanging="425"/>
        <w:rPr>
          <w:rFonts w:cs="Arial"/>
          <w:noProof/>
          <w:szCs w:val="24"/>
        </w:rPr>
      </w:pPr>
      <w:r w:rsidRPr="00C35175">
        <w:rPr>
          <w:rFonts w:cs="Arial"/>
          <w:noProof/>
          <w:szCs w:val="24"/>
        </w:rPr>
        <w:t>Regulatory Framework</w:t>
      </w:r>
      <w:r w:rsidR="00116966" w:rsidRPr="00C35175">
        <w:rPr>
          <w:rFonts w:cs="Arial"/>
          <w:noProof/>
          <w:szCs w:val="24"/>
        </w:rPr>
        <w:t xml:space="preserve"> Committee (</w:t>
      </w:r>
      <w:r w:rsidRPr="00C35175">
        <w:rPr>
          <w:rFonts w:cs="Arial"/>
          <w:noProof/>
          <w:szCs w:val="24"/>
        </w:rPr>
        <w:t>RFC</w:t>
      </w:r>
      <w:r w:rsidR="00116966" w:rsidRPr="00C35175">
        <w:rPr>
          <w:rFonts w:cs="Arial"/>
          <w:noProof/>
          <w:szCs w:val="24"/>
        </w:rPr>
        <w:t>)</w:t>
      </w:r>
    </w:p>
    <w:p w14:paraId="1934E062" w14:textId="76F76751" w:rsidR="002F00EC" w:rsidRPr="00757829" w:rsidRDefault="00116966" w:rsidP="00757829">
      <w:pPr>
        <w:widowControl/>
        <w:numPr>
          <w:ilvl w:val="0"/>
          <w:numId w:val="8"/>
        </w:numPr>
        <w:tabs>
          <w:tab w:val="left" w:pos="-426"/>
        </w:tabs>
        <w:ind w:left="1134" w:hanging="425"/>
        <w:rPr>
          <w:rFonts w:cs="Arial"/>
          <w:noProof/>
          <w:szCs w:val="24"/>
        </w:rPr>
      </w:pPr>
      <w:r w:rsidRPr="00757829">
        <w:rPr>
          <w:rFonts w:cs="Arial"/>
          <w:noProof/>
          <w:szCs w:val="24"/>
        </w:rPr>
        <w:t xml:space="preserve">Research </w:t>
      </w:r>
      <w:r w:rsidR="00D03AE2" w:rsidRPr="00757829">
        <w:rPr>
          <w:rFonts w:cs="Arial"/>
          <w:noProof/>
          <w:szCs w:val="24"/>
        </w:rPr>
        <w:t xml:space="preserve">Degrees </w:t>
      </w:r>
      <w:r w:rsidRPr="00757829">
        <w:rPr>
          <w:rFonts w:cs="Arial"/>
          <w:noProof/>
          <w:szCs w:val="24"/>
        </w:rPr>
        <w:t>Committee</w:t>
      </w:r>
      <w:r w:rsidR="009542C5" w:rsidRPr="00757829">
        <w:rPr>
          <w:rFonts w:cs="Arial"/>
          <w:noProof/>
          <w:szCs w:val="24"/>
        </w:rPr>
        <w:t xml:space="preserve"> (RDC)</w:t>
      </w:r>
    </w:p>
    <w:p w14:paraId="06477AB0" w14:textId="77777777" w:rsidR="009957F2" w:rsidRPr="00C35175" w:rsidRDefault="009957F2" w:rsidP="009957F2">
      <w:pPr>
        <w:widowControl/>
        <w:tabs>
          <w:tab w:val="left" w:pos="-426"/>
        </w:tabs>
        <w:ind w:left="1134"/>
        <w:rPr>
          <w:rFonts w:cs="Arial"/>
          <w:noProof/>
          <w:szCs w:val="24"/>
        </w:rPr>
      </w:pPr>
    </w:p>
    <w:p w14:paraId="795C1F24" w14:textId="72834F95" w:rsidR="002F00EC" w:rsidRDefault="00116966" w:rsidP="00FC307D">
      <w:pPr>
        <w:pStyle w:val="ListParagraph"/>
        <w:numPr>
          <w:ilvl w:val="0"/>
          <w:numId w:val="23"/>
        </w:numPr>
        <w:ind w:hanging="436"/>
        <w:rPr>
          <w:noProof/>
          <w:szCs w:val="24"/>
        </w:rPr>
      </w:pPr>
      <w:r w:rsidRPr="0098278F">
        <w:rPr>
          <w:noProof/>
          <w:szCs w:val="24"/>
        </w:rPr>
        <w:t>A Committee Structure Diagram can be found in</w:t>
      </w:r>
      <w:r w:rsidR="004B302B">
        <w:rPr>
          <w:noProof/>
          <w:szCs w:val="24"/>
        </w:rPr>
        <w:t xml:space="preserve"> </w:t>
      </w:r>
      <w:r w:rsidR="002D19E4">
        <w:rPr>
          <w:noProof/>
          <w:szCs w:val="24"/>
        </w:rPr>
        <w:t>s</w:t>
      </w:r>
      <w:r w:rsidR="004B302B">
        <w:rPr>
          <w:noProof/>
          <w:szCs w:val="24"/>
        </w:rPr>
        <w:t>ection O</w:t>
      </w:r>
      <w:r w:rsidRPr="0098278F">
        <w:rPr>
          <w:noProof/>
          <w:szCs w:val="24"/>
        </w:rPr>
        <w:t xml:space="preserve"> </w:t>
      </w:r>
      <w:r w:rsidR="006471DA" w:rsidRPr="0098278F">
        <w:rPr>
          <w:noProof/>
          <w:szCs w:val="24"/>
        </w:rPr>
        <w:t>Guidance (i)</w:t>
      </w:r>
      <w:r w:rsidRPr="0098278F">
        <w:rPr>
          <w:noProof/>
          <w:szCs w:val="24"/>
        </w:rPr>
        <w:t xml:space="preserve">.  Fuller details of these committees, including terms of reference and copies of past papers, can be </w:t>
      </w:r>
      <w:r w:rsidRPr="0098278F">
        <w:rPr>
          <w:noProof/>
          <w:color w:val="000000"/>
          <w:szCs w:val="24"/>
        </w:rPr>
        <w:t xml:space="preserve">found </w:t>
      </w:r>
      <w:hyperlink r:id="rId16" w:history="1">
        <w:r w:rsidR="002F00EC" w:rsidRPr="0098278F">
          <w:rPr>
            <w:rStyle w:val="Hyperlink"/>
            <w:rFonts w:cs="Arial"/>
            <w:noProof/>
            <w:color w:val="auto"/>
            <w:szCs w:val="24"/>
          </w:rPr>
          <w:t>here</w:t>
        </w:r>
      </w:hyperlink>
      <w:r w:rsidR="002F00EC" w:rsidRPr="0098278F">
        <w:rPr>
          <w:noProof/>
          <w:szCs w:val="24"/>
        </w:rPr>
        <w:t>.</w:t>
      </w:r>
    </w:p>
    <w:p w14:paraId="7F6DF85F" w14:textId="77777777" w:rsidR="009957F2" w:rsidRPr="0098278F" w:rsidRDefault="009957F2" w:rsidP="009957F2">
      <w:pPr>
        <w:pStyle w:val="ListParagraph"/>
        <w:rPr>
          <w:noProof/>
          <w:szCs w:val="24"/>
        </w:rPr>
      </w:pPr>
    </w:p>
    <w:p w14:paraId="1729F8DB" w14:textId="0A9BB827" w:rsidR="00D03AE2" w:rsidRPr="00FC307D" w:rsidRDefault="00116966" w:rsidP="00827974">
      <w:pPr>
        <w:pStyle w:val="ListParagraph"/>
        <w:numPr>
          <w:ilvl w:val="0"/>
          <w:numId w:val="23"/>
        </w:numPr>
        <w:ind w:hanging="436"/>
        <w:rPr>
          <w:noProof/>
          <w:szCs w:val="24"/>
        </w:rPr>
      </w:pPr>
      <w:r w:rsidRPr="0098278F">
        <w:rPr>
          <w:noProof/>
          <w:szCs w:val="24"/>
        </w:rPr>
        <w:t>Each University</w:t>
      </w:r>
      <w:r w:rsidR="00A87625" w:rsidRPr="0098278F">
        <w:rPr>
          <w:noProof/>
          <w:szCs w:val="24"/>
        </w:rPr>
        <w:t>-</w:t>
      </w:r>
      <w:r w:rsidRPr="0098278F">
        <w:rPr>
          <w:noProof/>
          <w:szCs w:val="24"/>
        </w:rPr>
        <w:t xml:space="preserve">level sub-committee of </w:t>
      </w:r>
      <w:r w:rsidR="00CF2BFF" w:rsidRPr="0098278F">
        <w:rPr>
          <w:noProof/>
          <w:szCs w:val="24"/>
        </w:rPr>
        <w:t xml:space="preserve">Academic Council </w:t>
      </w:r>
      <w:r w:rsidRPr="0098278F">
        <w:rPr>
          <w:noProof/>
          <w:szCs w:val="24"/>
        </w:rPr>
        <w:t xml:space="preserve">will produce an annual report and schedule of business for approval by the last meeting of </w:t>
      </w:r>
      <w:r w:rsidR="00560E03" w:rsidRPr="0098278F">
        <w:rPr>
          <w:noProof/>
          <w:szCs w:val="24"/>
        </w:rPr>
        <w:t xml:space="preserve">its </w:t>
      </w:r>
      <w:r w:rsidRPr="0098278F">
        <w:rPr>
          <w:noProof/>
          <w:szCs w:val="24"/>
        </w:rPr>
        <w:lastRenderedPageBreak/>
        <w:t>parent committee each academic year.</w:t>
      </w:r>
    </w:p>
    <w:p w14:paraId="17BDA1A9" w14:textId="77777777" w:rsidR="00DD1FFF" w:rsidRPr="009957F2" w:rsidRDefault="00DD1FFF" w:rsidP="00DD1FFF">
      <w:pPr>
        <w:pStyle w:val="Heading2"/>
        <w:rPr>
          <w:noProof/>
        </w:rPr>
      </w:pPr>
      <w:bookmarkStart w:id="17" w:name="Section_A_Para12"/>
      <w:bookmarkStart w:id="18" w:name="Section_A_Para14"/>
      <w:bookmarkStart w:id="19" w:name="_Toc567366119"/>
      <w:bookmarkEnd w:id="17"/>
      <w:bookmarkEnd w:id="18"/>
      <w:r w:rsidRPr="650714C8">
        <w:rPr>
          <w:noProof/>
        </w:rPr>
        <w:t>Education Committee (EC)</w:t>
      </w:r>
      <w:bookmarkEnd w:id="19"/>
    </w:p>
    <w:p w14:paraId="60EF7EC6" w14:textId="609A1B16" w:rsidR="00DD1FFF" w:rsidRPr="00827974" w:rsidRDefault="00DD1FFF" w:rsidP="00827974">
      <w:pPr>
        <w:pStyle w:val="ListParagraph"/>
        <w:numPr>
          <w:ilvl w:val="0"/>
          <w:numId w:val="23"/>
        </w:numPr>
        <w:ind w:hanging="436"/>
        <w:rPr>
          <w:noProof/>
          <w:szCs w:val="24"/>
        </w:rPr>
      </w:pPr>
      <w:r w:rsidRPr="00827974">
        <w:rPr>
          <w:noProof/>
          <w:szCs w:val="24"/>
        </w:rPr>
        <w:t xml:space="preserve">Through EC, the University monitors the effective implementation of policies and practice for the continuous enhancement of teaching quality, the learning environment and student outcomes as prioritised by the </w:t>
      </w:r>
      <w:r w:rsidR="0048450B">
        <w:rPr>
          <w:noProof/>
          <w:szCs w:val="24"/>
        </w:rPr>
        <w:t>Town House Strategy</w:t>
      </w:r>
      <w:r w:rsidRPr="00827974">
        <w:rPr>
          <w:noProof/>
          <w:szCs w:val="24"/>
        </w:rPr>
        <w:t xml:space="preserve">.  The Committee also has responsibility to monitor the quality and standards of all taught provision including that delivered by collaborative partners and to ensure that the University’s quality assurance policies and procedures are implemented appropriately.  The Education Committee is responsible for the consideration of new academic developments, including new collaborative partnerships.  </w:t>
      </w:r>
      <w:r w:rsidR="00E4107C">
        <w:rPr>
          <w:noProof/>
          <w:szCs w:val="24"/>
        </w:rPr>
        <w:t xml:space="preserve">The Education Committee </w:t>
      </w:r>
      <w:r w:rsidR="00E4107C" w:rsidRPr="0098278F">
        <w:rPr>
          <w:noProof/>
          <w:szCs w:val="24"/>
        </w:rPr>
        <w:t>reports directly to Academic Council</w:t>
      </w:r>
      <w:r w:rsidR="00E4107C">
        <w:rPr>
          <w:noProof/>
          <w:szCs w:val="24"/>
        </w:rPr>
        <w:t>.</w:t>
      </w:r>
    </w:p>
    <w:p w14:paraId="1E72D0F5" w14:textId="538BE1D3" w:rsidR="009957F2" w:rsidRPr="009957F2" w:rsidRDefault="00560E03" w:rsidP="00FC307D">
      <w:pPr>
        <w:pStyle w:val="Heading2"/>
        <w:rPr>
          <w:noProof/>
        </w:rPr>
      </w:pPr>
      <w:bookmarkStart w:id="20" w:name="_Toc382522291"/>
      <w:r w:rsidRPr="650714C8">
        <w:rPr>
          <w:noProof/>
        </w:rPr>
        <w:t>Regulatory Framework</w:t>
      </w:r>
      <w:r w:rsidR="00116966" w:rsidRPr="650714C8">
        <w:rPr>
          <w:noProof/>
        </w:rPr>
        <w:t xml:space="preserve"> Committee (</w:t>
      </w:r>
      <w:r w:rsidR="009957F2" w:rsidRPr="650714C8">
        <w:rPr>
          <w:noProof/>
        </w:rPr>
        <w:t>RF</w:t>
      </w:r>
      <w:r w:rsidR="00A87625" w:rsidRPr="650714C8">
        <w:rPr>
          <w:noProof/>
        </w:rPr>
        <w:t>C</w:t>
      </w:r>
      <w:r w:rsidR="00116966" w:rsidRPr="650714C8">
        <w:rPr>
          <w:noProof/>
        </w:rPr>
        <w:t>)</w:t>
      </w:r>
      <w:bookmarkEnd w:id="20"/>
    </w:p>
    <w:p w14:paraId="73AB6E0C" w14:textId="191F411B" w:rsidR="00116966" w:rsidRDefault="00D03AE2" w:rsidP="0048450B">
      <w:pPr>
        <w:pStyle w:val="ListParagraph"/>
        <w:numPr>
          <w:ilvl w:val="0"/>
          <w:numId w:val="23"/>
        </w:numPr>
        <w:ind w:hanging="436"/>
        <w:rPr>
          <w:noProof/>
          <w:szCs w:val="24"/>
        </w:rPr>
      </w:pPr>
      <w:r w:rsidRPr="0098278F">
        <w:rPr>
          <w:noProof/>
          <w:szCs w:val="24"/>
        </w:rPr>
        <w:t>RFC</w:t>
      </w:r>
      <w:r w:rsidR="00A87625" w:rsidRPr="0098278F">
        <w:rPr>
          <w:noProof/>
          <w:szCs w:val="24"/>
        </w:rPr>
        <w:t xml:space="preserve"> </w:t>
      </w:r>
      <w:r w:rsidR="00116966" w:rsidRPr="0098278F">
        <w:rPr>
          <w:noProof/>
          <w:szCs w:val="24"/>
        </w:rPr>
        <w:t xml:space="preserve">considers all matters pertaining to the University regulations and assessment processes for approval and recommendation to </w:t>
      </w:r>
      <w:r w:rsidR="00CF2BFF" w:rsidRPr="0098278F">
        <w:rPr>
          <w:noProof/>
          <w:szCs w:val="24"/>
        </w:rPr>
        <w:t xml:space="preserve">Academic Council </w:t>
      </w:r>
      <w:r w:rsidR="00116966" w:rsidRPr="0098278F">
        <w:rPr>
          <w:noProof/>
          <w:szCs w:val="24"/>
        </w:rPr>
        <w:t>and reports directly to</w:t>
      </w:r>
      <w:r w:rsidR="00CF2BFF" w:rsidRPr="0098278F">
        <w:rPr>
          <w:noProof/>
          <w:szCs w:val="24"/>
        </w:rPr>
        <w:t xml:space="preserve"> Academic Council</w:t>
      </w:r>
      <w:r w:rsidR="00116966" w:rsidRPr="0098278F">
        <w:rPr>
          <w:noProof/>
          <w:szCs w:val="24"/>
        </w:rPr>
        <w:t>.</w:t>
      </w:r>
    </w:p>
    <w:p w14:paraId="1F58C350" w14:textId="77777777" w:rsidR="009957F2" w:rsidRPr="0098278F" w:rsidRDefault="009957F2" w:rsidP="009957F2">
      <w:pPr>
        <w:pStyle w:val="ListParagraph"/>
        <w:rPr>
          <w:noProof/>
          <w:szCs w:val="24"/>
          <w:lang w:eastAsia="zh-CN"/>
        </w:rPr>
      </w:pPr>
    </w:p>
    <w:p w14:paraId="42682232" w14:textId="01AC32E2" w:rsidR="009957F2" w:rsidRPr="00FC307D" w:rsidRDefault="00D03AE2" w:rsidP="00196BE9">
      <w:pPr>
        <w:pStyle w:val="ListParagraph"/>
        <w:numPr>
          <w:ilvl w:val="0"/>
          <w:numId w:val="23"/>
        </w:numPr>
        <w:ind w:left="709" w:hanging="425"/>
        <w:rPr>
          <w:noProof/>
          <w:szCs w:val="24"/>
          <w:lang w:eastAsia="zh-CN"/>
        </w:rPr>
      </w:pPr>
      <w:r w:rsidRPr="0098278F">
        <w:rPr>
          <w:noProof/>
          <w:szCs w:val="24"/>
          <w:lang w:eastAsia="zh-CN"/>
        </w:rPr>
        <w:t xml:space="preserve">For </w:t>
      </w:r>
      <w:r w:rsidRPr="0098278F">
        <w:rPr>
          <w:noProof/>
          <w:szCs w:val="24"/>
        </w:rPr>
        <w:t xml:space="preserve">Assessment Boards – see </w:t>
      </w:r>
      <w:hyperlink r:id="rId17" w:history="1">
        <w:r w:rsidR="009D44A1" w:rsidRPr="009D44A1">
          <w:rPr>
            <w:rStyle w:val="Hyperlink"/>
          </w:rPr>
          <w:t>Academic Regulations 2: Undergraduate Regulations</w:t>
        </w:r>
      </w:hyperlink>
      <w:r w:rsidR="009D44A1" w:rsidRPr="009D44A1">
        <w:rPr>
          <w:rStyle w:val="Hyperlink"/>
          <w:color w:val="auto"/>
          <w:u w:val="none"/>
        </w:rPr>
        <w:t xml:space="preserve"> and </w:t>
      </w:r>
      <w:hyperlink r:id="rId18" w:history="1">
        <w:r w:rsidR="009D44A1" w:rsidRPr="00C10F88">
          <w:rPr>
            <w:rStyle w:val="Hyperlink"/>
          </w:rPr>
          <w:t>Academic Regulations 3:  Postgraduate Regulations</w:t>
        </w:r>
      </w:hyperlink>
    </w:p>
    <w:p w14:paraId="368026F3" w14:textId="677A3475" w:rsidR="009957F2" w:rsidRPr="009957F2" w:rsidRDefault="00116966" w:rsidP="00FC307D">
      <w:pPr>
        <w:pStyle w:val="Heading2"/>
        <w:rPr>
          <w:noProof/>
        </w:rPr>
      </w:pPr>
      <w:bookmarkStart w:id="21" w:name="Section_A_Para15"/>
      <w:bookmarkStart w:id="22" w:name="Section_A_Para18"/>
      <w:bookmarkStart w:id="23" w:name="Section_A_Para20"/>
      <w:bookmarkStart w:id="24" w:name="_Toc922744157"/>
      <w:bookmarkEnd w:id="21"/>
      <w:bookmarkEnd w:id="22"/>
      <w:bookmarkEnd w:id="23"/>
      <w:r w:rsidRPr="650714C8">
        <w:rPr>
          <w:noProof/>
        </w:rPr>
        <w:t>Faculty</w:t>
      </w:r>
      <w:r w:rsidR="00287A5F" w:rsidRPr="650714C8">
        <w:rPr>
          <w:noProof/>
        </w:rPr>
        <w:t>-</w:t>
      </w:r>
      <w:r w:rsidRPr="650714C8">
        <w:rPr>
          <w:noProof/>
        </w:rPr>
        <w:t>level committee structures</w:t>
      </w:r>
      <w:bookmarkEnd w:id="24"/>
    </w:p>
    <w:p w14:paraId="0937230E" w14:textId="77777777" w:rsidR="009957F2" w:rsidRPr="00196BE9" w:rsidRDefault="00116966" w:rsidP="00196BE9">
      <w:pPr>
        <w:pStyle w:val="ListParagraph"/>
        <w:numPr>
          <w:ilvl w:val="0"/>
          <w:numId w:val="23"/>
        </w:numPr>
        <w:ind w:hanging="436"/>
        <w:rPr>
          <w:noProof/>
          <w:szCs w:val="24"/>
        </w:rPr>
      </w:pPr>
      <w:r w:rsidRPr="00196BE9">
        <w:rPr>
          <w:noProof/>
          <w:szCs w:val="24"/>
        </w:rPr>
        <w:t>Faculties have committee structures developed in line with the terms of reference laid out by</w:t>
      </w:r>
      <w:r w:rsidR="00CF2BFF" w:rsidRPr="00196BE9">
        <w:rPr>
          <w:noProof/>
          <w:szCs w:val="24"/>
        </w:rPr>
        <w:t xml:space="preserve"> the</w:t>
      </w:r>
      <w:r w:rsidRPr="00196BE9">
        <w:rPr>
          <w:noProof/>
          <w:szCs w:val="24"/>
        </w:rPr>
        <w:t xml:space="preserve"> </w:t>
      </w:r>
      <w:r w:rsidR="00CF2BFF" w:rsidRPr="00196BE9">
        <w:rPr>
          <w:noProof/>
          <w:szCs w:val="24"/>
        </w:rPr>
        <w:t>Academic Council</w:t>
      </w:r>
      <w:r w:rsidRPr="00196BE9">
        <w:rPr>
          <w:noProof/>
          <w:szCs w:val="24"/>
        </w:rPr>
        <w:t xml:space="preserve">.  Faculty committees consider issues related to academic development, quality assurance and learning enhancement of taught programmes, and the quality assurance and enhancement of research degree provision.  The precise structure and constitution of the committees varies from </w:t>
      </w:r>
      <w:r w:rsidR="00D03AE2" w:rsidRPr="00196BE9">
        <w:rPr>
          <w:noProof/>
          <w:szCs w:val="24"/>
        </w:rPr>
        <w:t>f</w:t>
      </w:r>
      <w:r w:rsidRPr="00196BE9">
        <w:rPr>
          <w:noProof/>
          <w:szCs w:val="24"/>
        </w:rPr>
        <w:t>aculty</w:t>
      </w:r>
      <w:r w:rsidR="00D03AE2" w:rsidRPr="00196BE9">
        <w:rPr>
          <w:noProof/>
          <w:szCs w:val="24"/>
        </w:rPr>
        <w:t xml:space="preserve"> </w:t>
      </w:r>
      <w:r w:rsidRPr="00196BE9">
        <w:rPr>
          <w:noProof/>
          <w:szCs w:val="24"/>
        </w:rPr>
        <w:t>to</w:t>
      </w:r>
      <w:r w:rsidR="00D03AE2" w:rsidRPr="00196BE9">
        <w:rPr>
          <w:noProof/>
          <w:szCs w:val="24"/>
        </w:rPr>
        <w:t xml:space="preserve"> f</w:t>
      </w:r>
      <w:r w:rsidRPr="00196BE9">
        <w:rPr>
          <w:noProof/>
          <w:szCs w:val="24"/>
        </w:rPr>
        <w:t xml:space="preserve">aculty in order to best meet local circumstances; nonetheless the overall committee structure and functions at faculty level must fulfill all </w:t>
      </w:r>
      <w:r w:rsidR="00CF2BFF" w:rsidRPr="00196BE9">
        <w:rPr>
          <w:noProof/>
          <w:szCs w:val="24"/>
        </w:rPr>
        <w:t xml:space="preserve">the Academic Council </w:t>
      </w:r>
      <w:r w:rsidRPr="00196BE9">
        <w:rPr>
          <w:noProof/>
          <w:szCs w:val="24"/>
        </w:rPr>
        <w:t xml:space="preserve">requirements. </w:t>
      </w:r>
    </w:p>
    <w:p w14:paraId="5ECB772C" w14:textId="6D62FAA9" w:rsidR="00116966" w:rsidRPr="0098278F" w:rsidRDefault="00116966" w:rsidP="009957F2">
      <w:pPr>
        <w:pStyle w:val="ListParagraph"/>
        <w:adjustRightInd w:val="0"/>
        <w:rPr>
          <w:rFonts w:cs="Arial"/>
          <w:noProof/>
          <w:szCs w:val="24"/>
        </w:rPr>
      </w:pPr>
      <w:r w:rsidRPr="0098278F">
        <w:rPr>
          <w:rFonts w:cs="Arial"/>
          <w:noProof/>
          <w:szCs w:val="24"/>
        </w:rPr>
        <w:t xml:space="preserve"> </w:t>
      </w:r>
    </w:p>
    <w:p w14:paraId="2DB2D698" w14:textId="6AC10234" w:rsidR="009957F2" w:rsidRPr="00522435" w:rsidRDefault="00116966" w:rsidP="009957F2">
      <w:pPr>
        <w:pStyle w:val="ListParagraph"/>
        <w:numPr>
          <w:ilvl w:val="0"/>
          <w:numId w:val="23"/>
        </w:numPr>
        <w:ind w:hanging="436"/>
        <w:rPr>
          <w:noProof/>
          <w:szCs w:val="24"/>
        </w:rPr>
      </w:pPr>
      <w:r w:rsidRPr="00196BE9">
        <w:rPr>
          <w:noProof/>
          <w:szCs w:val="24"/>
        </w:rPr>
        <w:t>The key faculty level committees are:</w:t>
      </w:r>
    </w:p>
    <w:p w14:paraId="365346DC" w14:textId="0968AE80" w:rsidR="00196C00" w:rsidRPr="00196C00" w:rsidRDefault="009D7AB3" w:rsidP="003D245B">
      <w:pPr>
        <w:pStyle w:val="ListParagraph"/>
        <w:numPr>
          <w:ilvl w:val="0"/>
          <w:numId w:val="31"/>
        </w:numPr>
        <w:ind w:left="1134"/>
        <w:rPr>
          <w:noProof/>
          <w:szCs w:val="24"/>
        </w:rPr>
      </w:pPr>
      <w:r w:rsidRPr="00196C00">
        <w:rPr>
          <w:noProof/>
          <w:szCs w:val="24"/>
        </w:rPr>
        <w:t>Faculty Education Committee</w:t>
      </w:r>
      <w:r w:rsidR="00287A5F" w:rsidRPr="00196C00">
        <w:rPr>
          <w:noProof/>
          <w:szCs w:val="24"/>
        </w:rPr>
        <w:t xml:space="preserve"> – see </w:t>
      </w:r>
      <w:r w:rsidR="002D19E4">
        <w:rPr>
          <w:noProof/>
          <w:szCs w:val="24"/>
        </w:rPr>
        <w:t xml:space="preserve">section O </w:t>
      </w:r>
      <w:r w:rsidR="00287A5F" w:rsidRPr="00196C00">
        <w:rPr>
          <w:noProof/>
          <w:szCs w:val="24"/>
        </w:rPr>
        <w:t>Guidance (iv)</w:t>
      </w:r>
    </w:p>
    <w:p w14:paraId="0AD28BF2" w14:textId="77777777" w:rsidR="00196C00" w:rsidRDefault="00116966" w:rsidP="003D245B">
      <w:pPr>
        <w:numPr>
          <w:ilvl w:val="0"/>
          <w:numId w:val="19"/>
        </w:numPr>
        <w:ind w:left="1134"/>
        <w:rPr>
          <w:noProof/>
          <w:szCs w:val="24"/>
        </w:rPr>
      </w:pPr>
      <w:r w:rsidRPr="00196C00">
        <w:rPr>
          <w:noProof/>
          <w:szCs w:val="24"/>
        </w:rPr>
        <w:t xml:space="preserve">Faculty Forum – see </w:t>
      </w:r>
      <w:r w:rsidR="006471DA" w:rsidRPr="00196C00">
        <w:rPr>
          <w:noProof/>
          <w:szCs w:val="24"/>
        </w:rPr>
        <w:t>section L</w:t>
      </w:r>
    </w:p>
    <w:p w14:paraId="4C4E54F4" w14:textId="4638D7AB" w:rsidR="00196C00" w:rsidRDefault="00196C00" w:rsidP="003D245B">
      <w:pPr>
        <w:numPr>
          <w:ilvl w:val="0"/>
          <w:numId w:val="19"/>
        </w:numPr>
        <w:ind w:left="1134"/>
        <w:rPr>
          <w:noProof/>
          <w:szCs w:val="24"/>
        </w:rPr>
      </w:pPr>
      <w:r>
        <w:rPr>
          <w:noProof/>
          <w:szCs w:val="24"/>
        </w:rPr>
        <w:t>School Education Committee</w:t>
      </w:r>
      <w:r w:rsidR="00116966" w:rsidRPr="00196C00">
        <w:rPr>
          <w:noProof/>
          <w:szCs w:val="24"/>
        </w:rPr>
        <w:t xml:space="preserve"> (</w:t>
      </w:r>
      <w:r>
        <w:rPr>
          <w:noProof/>
          <w:szCs w:val="24"/>
        </w:rPr>
        <w:t>SEC</w:t>
      </w:r>
      <w:r w:rsidR="00116966" w:rsidRPr="00196C00">
        <w:rPr>
          <w:noProof/>
          <w:szCs w:val="24"/>
        </w:rPr>
        <w:t xml:space="preserve">) – </w:t>
      </w:r>
      <w:r w:rsidR="006471DA" w:rsidRPr="00196C00">
        <w:rPr>
          <w:noProof/>
          <w:szCs w:val="24"/>
        </w:rPr>
        <w:t xml:space="preserve">see </w:t>
      </w:r>
      <w:r w:rsidR="002D19E4">
        <w:rPr>
          <w:noProof/>
          <w:szCs w:val="24"/>
        </w:rPr>
        <w:t>secti</w:t>
      </w:r>
      <w:r w:rsidR="003D245B">
        <w:rPr>
          <w:noProof/>
          <w:szCs w:val="24"/>
        </w:rPr>
        <w:t>o</w:t>
      </w:r>
      <w:r w:rsidR="002D19E4">
        <w:rPr>
          <w:noProof/>
          <w:szCs w:val="24"/>
        </w:rPr>
        <w:t>n O</w:t>
      </w:r>
      <w:r w:rsidR="003D245B">
        <w:rPr>
          <w:noProof/>
          <w:szCs w:val="24"/>
        </w:rPr>
        <w:t xml:space="preserve"> </w:t>
      </w:r>
      <w:r>
        <w:rPr>
          <w:noProof/>
          <w:szCs w:val="24"/>
        </w:rPr>
        <w:t>Guidance (</w:t>
      </w:r>
      <w:r w:rsidR="002D19E4">
        <w:rPr>
          <w:noProof/>
          <w:szCs w:val="24"/>
        </w:rPr>
        <w:t>xiii</w:t>
      </w:r>
      <w:r>
        <w:rPr>
          <w:noProof/>
          <w:szCs w:val="24"/>
        </w:rPr>
        <w:t>)</w:t>
      </w:r>
    </w:p>
    <w:p w14:paraId="28988AA4" w14:textId="6D937076" w:rsidR="001736B2" w:rsidRPr="00196C00" w:rsidRDefault="009D08ED" w:rsidP="003D245B">
      <w:pPr>
        <w:numPr>
          <w:ilvl w:val="0"/>
          <w:numId w:val="19"/>
        </w:numPr>
        <w:ind w:left="1134"/>
        <w:rPr>
          <w:noProof/>
          <w:szCs w:val="24"/>
        </w:rPr>
      </w:pPr>
      <w:r w:rsidRPr="00196C00">
        <w:rPr>
          <w:noProof/>
          <w:szCs w:val="24"/>
        </w:rPr>
        <w:t xml:space="preserve">Student Voice Committee (SVC) </w:t>
      </w:r>
      <w:r w:rsidR="00116966" w:rsidRPr="00196C00">
        <w:rPr>
          <w:noProof/>
          <w:szCs w:val="24"/>
        </w:rPr>
        <w:t xml:space="preserve">- see </w:t>
      </w:r>
      <w:r w:rsidR="006471DA" w:rsidRPr="00196C00">
        <w:rPr>
          <w:noProof/>
          <w:szCs w:val="24"/>
        </w:rPr>
        <w:t>section L</w:t>
      </w:r>
      <w:r w:rsidR="00116966" w:rsidRPr="00196C00">
        <w:rPr>
          <w:noProof/>
          <w:szCs w:val="24"/>
        </w:rPr>
        <w:tab/>
      </w:r>
      <w:bookmarkStart w:id="25" w:name="Section_A_Para22"/>
      <w:bookmarkEnd w:id="25"/>
    </w:p>
    <w:p w14:paraId="63002783" w14:textId="77777777" w:rsidR="009957F2" w:rsidRPr="00F31BE1" w:rsidRDefault="009957F2" w:rsidP="009957F2">
      <w:pPr>
        <w:ind w:left="1134"/>
        <w:rPr>
          <w:rFonts w:cs="Arial"/>
          <w:noProof/>
          <w:szCs w:val="24"/>
        </w:rPr>
      </w:pPr>
    </w:p>
    <w:p w14:paraId="3CAD7240" w14:textId="20C2F781" w:rsidR="009957F2" w:rsidRPr="00522435" w:rsidRDefault="00116966" w:rsidP="00522435">
      <w:pPr>
        <w:pStyle w:val="ListParagraph"/>
        <w:numPr>
          <w:ilvl w:val="0"/>
          <w:numId w:val="23"/>
        </w:numPr>
        <w:ind w:hanging="436"/>
        <w:rPr>
          <w:noProof/>
          <w:szCs w:val="24"/>
        </w:rPr>
      </w:pPr>
      <w:r w:rsidRPr="00622076">
        <w:rPr>
          <w:noProof/>
          <w:szCs w:val="24"/>
        </w:rPr>
        <w:t>Faculties have quality assurance responsibilities through their formal structures in the following areas:</w:t>
      </w:r>
    </w:p>
    <w:p w14:paraId="3304B33A" w14:textId="792EA7E6" w:rsidR="00527ED8" w:rsidRPr="009957F2" w:rsidRDefault="00527ED8" w:rsidP="00F70F8C">
      <w:pPr>
        <w:numPr>
          <w:ilvl w:val="0"/>
          <w:numId w:val="19"/>
        </w:numPr>
        <w:ind w:left="1134"/>
        <w:rPr>
          <w:noProof/>
          <w:szCs w:val="24"/>
        </w:rPr>
      </w:pPr>
      <w:r w:rsidRPr="009957F2">
        <w:rPr>
          <w:noProof/>
          <w:szCs w:val="24"/>
        </w:rPr>
        <w:t>Review of existing courses</w:t>
      </w:r>
      <w:r w:rsidR="00953115">
        <w:rPr>
          <w:noProof/>
          <w:szCs w:val="24"/>
        </w:rPr>
        <w:t xml:space="preserve"> </w:t>
      </w:r>
      <w:r w:rsidR="00F31BE1" w:rsidRPr="009957F2">
        <w:rPr>
          <w:noProof/>
          <w:szCs w:val="24"/>
        </w:rPr>
        <w:t>(s</w:t>
      </w:r>
      <w:r w:rsidRPr="009957F2">
        <w:rPr>
          <w:noProof/>
          <w:szCs w:val="24"/>
        </w:rPr>
        <w:t>ee section</w:t>
      </w:r>
      <w:r w:rsidR="00934DEF">
        <w:rPr>
          <w:noProof/>
          <w:szCs w:val="24"/>
        </w:rPr>
        <w:t>s</w:t>
      </w:r>
      <w:r w:rsidRPr="009957F2">
        <w:rPr>
          <w:noProof/>
          <w:szCs w:val="24"/>
        </w:rPr>
        <w:t xml:space="preserve"> </w:t>
      </w:r>
      <w:r w:rsidR="00F31BE1" w:rsidRPr="009957F2">
        <w:rPr>
          <w:noProof/>
          <w:szCs w:val="24"/>
        </w:rPr>
        <w:t>B</w:t>
      </w:r>
      <w:r w:rsidR="00934DEF">
        <w:rPr>
          <w:noProof/>
          <w:szCs w:val="24"/>
        </w:rPr>
        <w:t xml:space="preserve">, </w:t>
      </w:r>
      <w:r w:rsidRPr="009957F2">
        <w:rPr>
          <w:noProof/>
          <w:szCs w:val="24"/>
        </w:rPr>
        <w:t xml:space="preserve"> </w:t>
      </w:r>
      <w:r w:rsidR="00F31BE1" w:rsidRPr="009957F2">
        <w:rPr>
          <w:noProof/>
          <w:szCs w:val="24"/>
        </w:rPr>
        <w:t>D</w:t>
      </w:r>
      <w:r w:rsidR="00934DEF">
        <w:rPr>
          <w:noProof/>
          <w:szCs w:val="24"/>
        </w:rPr>
        <w:t xml:space="preserve"> and E</w:t>
      </w:r>
      <w:r w:rsidR="00F31BE1" w:rsidRPr="009957F2">
        <w:rPr>
          <w:noProof/>
          <w:szCs w:val="24"/>
        </w:rPr>
        <w:t>)</w:t>
      </w:r>
    </w:p>
    <w:p w14:paraId="0175377C" w14:textId="60108D71" w:rsidR="00527ED8" w:rsidRPr="009957F2" w:rsidRDefault="00527ED8" w:rsidP="00F70F8C">
      <w:pPr>
        <w:numPr>
          <w:ilvl w:val="0"/>
          <w:numId w:val="19"/>
        </w:numPr>
        <w:ind w:left="1134"/>
        <w:rPr>
          <w:noProof/>
          <w:szCs w:val="24"/>
        </w:rPr>
      </w:pPr>
      <w:r w:rsidRPr="009957F2">
        <w:rPr>
          <w:noProof/>
          <w:szCs w:val="24"/>
        </w:rPr>
        <w:t>Changes to validated courses and modules</w:t>
      </w:r>
      <w:r w:rsidR="00F31BE1" w:rsidRPr="009957F2">
        <w:rPr>
          <w:noProof/>
          <w:szCs w:val="24"/>
        </w:rPr>
        <w:t xml:space="preserve"> (s</w:t>
      </w:r>
      <w:r w:rsidRPr="009957F2">
        <w:rPr>
          <w:noProof/>
          <w:szCs w:val="24"/>
        </w:rPr>
        <w:t>ee section G</w:t>
      </w:r>
      <w:r w:rsidR="00F31BE1" w:rsidRPr="009957F2">
        <w:rPr>
          <w:noProof/>
          <w:szCs w:val="24"/>
        </w:rPr>
        <w:t>)</w:t>
      </w:r>
    </w:p>
    <w:p w14:paraId="7B164150" w14:textId="7A73A20E" w:rsidR="00527ED8" w:rsidRPr="009957F2" w:rsidRDefault="00527ED8" w:rsidP="00F70F8C">
      <w:pPr>
        <w:numPr>
          <w:ilvl w:val="0"/>
          <w:numId w:val="19"/>
        </w:numPr>
        <w:ind w:left="1134"/>
        <w:rPr>
          <w:noProof/>
          <w:szCs w:val="24"/>
        </w:rPr>
      </w:pPr>
      <w:r w:rsidRPr="009957F2">
        <w:rPr>
          <w:noProof/>
          <w:szCs w:val="24"/>
        </w:rPr>
        <w:t>External examining: appointment and reporting</w:t>
      </w:r>
      <w:r w:rsidR="00953115">
        <w:rPr>
          <w:noProof/>
          <w:szCs w:val="24"/>
        </w:rPr>
        <w:t xml:space="preserve"> </w:t>
      </w:r>
      <w:r w:rsidR="00F31BE1" w:rsidRPr="009957F2">
        <w:rPr>
          <w:noProof/>
          <w:szCs w:val="24"/>
        </w:rPr>
        <w:t>(s</w:t>
      </w:r>
      <w:r w:rsidRPr="009957F2">
        <w:rPr>
          <w:noProof/>
          <w:szCs w:val="24"/>
        </w:rPr>
        <w:t>ee section I</w:t>
      </w:r>
      <w:r w:rsidR="00F31BE1" w:rsidRPr="009957F2">
        <w:rPr>
          <w:noProof/>
          <w:szCs w:val="24"/>
        </w:rPr>
        <w:t>)</w:t>
      </w:r>
    </w:p>
    <w:p w14:paraId="28151884" w14:textId="4F554E99" w:rsidR="009957F2" w:rsidRPr="00FC307D" w:rsidRDefault="00527ED8" w:rsidP="00F70F8C">
      <w:pPr>
        <w:numPr>
          <w:ilvl w:val="0"/>
          <w:numId w:val="19"/>
        </w:numPr>
        <w:ind w:left="1134"/>
        <w:rPr>
          <w:noProof/>
          <w:szCs w:val="24"/>
        </w:rPr>
      </w:pPr>
      <w:r w:rsidRPr="009957F2">
        <w:rPr>
          <w:noProof/>
          <w:szCs w:val="24"/>
        </w:rPr>
        <w:t>Student engagement and feedback</w:t>
      </w:r>
      <w:r w:rsidR="00F31BE1" w:rsidRPr="009957F2">
        <w:rPr>
          <w:noProof/>
          <w:szCs w:val="24"/>
        </w:rPr>
        <w:t xml:space="preserve"> (s</w:t>
      </w:r>
      <w:r w:rsidRPr="009957F2">
        <w:rPr>
          <w:noProof/>
          <w:szCs w:val="24"/>
        </w:rPr>
        <w:t>ee section L</w:t>
      </w:r>
      <w:r w:rsidR="00F31BE1" w:rsidRPr="009957F2">
        <w:rPr>
          <w:noProof/>
          <w:szCs w:val="24"/>
        </w:rPr>
        <w:t>)</w:t>
      </w:r>
    </w:p>
    <w:p w14:paraId="5AE94449" w14:textId="0DEC2888" w:rsidR="009957F2" w:rsidRPr="009957F2" w:rsidRDefault="00287A5F" w:rsidP="00FC307D">
      <w:pPr>
        <w:pStyle w:val="Heading2"/>
      </w:pPr>
      <w:bookmarkStart w:id="26" w:name="Section_A_Para25"/>
      <w:bookmarkStart w:id="27" w:name="_Toc451050347"/>
      <w:bookmarkEnd w:id="26"/>
      <w:r>
        <w:t xml:space="preserve">Course </w:t>
      </w:r>
      <w:r w:rsidR="00116966">
        <w:t>Leaders</w:t>
      </w:r>
      <w:bookmarkEnd w:id="27"/>
      <w:r w:rsidR="00116966">
        <w:t xml:space="preserve"> </w:t>
      </w:r>
    </w:p>
    <w:p w14:paraId="75260F6E" w14:textId="75F1A483" w:rsidR="009957F2" w:rsidRPr="00953115" w:rsidRDefault="00116966" w:rsidP="00953115">
      <w:pPr>
        <w:pStyle w:val="ListParagraph"/>
        <w:numPr>
          <w:ilvl w:val="0"/>
          <w:numId w:val="23"/>
        </w:numPr>
        <w:ind w:hanging="436"/>
        <w:rPr>
          <w:noProof/>
          <w:szCs w:val="24"/>
        </w:rPr>
      </w:pPr>
      <w:r w:rsidRPr="00953115">
        <w:rPr>
          <w:noProof/>
          <w:szCs w:val="24"/>
        </w:rPr>
        <w:t xml:space="preserve">Specified sets of modules are validated as being available to contribute to named </w:t>
      </w:r>
      <w:r w:rsidR="00D03AE2" w:rsidRPr="00953115">
        <w:rPr>
          <w:noProof/>
          <w:szCs w:val="24"/>
        </w:rPr>
        <w:t>progamme</w:t>
      </w:r>
      <w:r w:rsidR="00A94787" w:rsidRPr="00953115">
        <w:rPr>
          <w:noProof/>
          <w:szCs w:val="24"/>
        </w:rPr>
        <w:t>s</w:t>
      </w:r>
      <w:r w:rsidRPr="00953115">
        <w:rPr>
          <w:noProof/>
          <w:szCs w:val="24"/>
        </w:rPr>
        <w:t xml:space="preserve">.  Each </w:t>
      </w:r>
      <w:r w:rsidR="00D03AE2" w:rsidRPr="00953115">
        <w:rPr>
          <w:noProof/>
          <w:szCs w:val="24"/>
        </w:rPr>
        <w:t xml:space="preserve">course </w:t>
      </w:r>
      <w:r w:rsidRPr="00953115">
        <w:rPr>
          <w:noProof/>
          <w:szCs w:val="24"/>
        </w:rPr>
        <w:t xml:space="preserve">must have a designated </w:t>
      </w:r>
      <w:r w:rsidR="00211316" w:rsidRPr="00953115">
        <w:rPr>
          <w:noProof/>
          <w:szCs w:val="24"/>
        </w:rPr>
        <w:t xml:space="preserve">Course </w:t>
      </w:r>
      <w:r w:rsidRPr="00953115">
        <w:rPr>
          <w:noProof/>
          <w:szCs w:val="24"/>
        </w:rPr>
        <w:t xml:space="preserve">Leader </w:t>
      </w:r>
      <w:r w:rsidRPr="00953115">
        <w:rPr>
          <w:noProof/>
          <w:szCs w:val="24"/>
        </w:rPr>
        <w:lastRenderedPageBreak/>
        <w:t>who</w:t>
      </w:r>
      <w:r w:rsidR="00211316" w:rsidRPr="00953115">
        <w:rPr>
          <w:noProof/>
          <w:szCs w:val="24"/>
        </w:rPr>
        <w:t xml:space="preserve"> is responsible for the student experience of the course, including ensuring the coherence of the course and its constituent modules.  The Course Leader is also responsible for ensuring that the course is monitored and evaluated in accordance with</w:t>
      </w:r>
      <w:r w:rsidR="00287A5F" w:rsidRPr="00953115">
        <w:rPr>
          <w:noProof/>
          <w:szCs w:val="24"/>
        </w:rPr>
        <w:t xml:space="preserve"> the</w:t>
      </w:r>
      <w:r w:rsidR="00211316" w:rsidRPr="00953115">
        <w:rPr>
          <w:noProof/>
          <w:szCs w:val="24"/>
        </w:rPr>
        <w:t xml:space="preserve"> University regulations, policies and procedures.  </w:t>
      </w:r>
    </w:p>
    <w:p w14:paraId="24DD6C94" w14:textId="2F296E8A" w:rsidR="009957F2" w:rsidRPr="00FC307D" w:rsidRDefault="00116966" w:rsidP="00FC307D">
      <w:pPr>
        <w:pStyle w:val="Heading2"/>
      </w:pPr>
      <w:bookmarkStart w:id="28" w:name="Section_A_Para27"/>
      <w:bookmarkStart w:id="29" w:name="_Toc18956209"/>
      <w:bookmarkEnd w:id="28"/>
      <w:r>
        <w:t>Management of modules</w:t>
      </w:r>
      <w:bookmarkEnd w:id="29"/>
    </w:p>
    <w:p w14:paraId="4FDF3D22" w14:textId="56191233" w:rsidR="009957F2" w:rsidRPr="00953115" w:rsidRDefault="00116966" w:rsidP="00953115">
      <w:pPr>
        <w:pStyle w:val="ListParagraph"/>
        <w:numPr>
          <w:ilvl w:val="0"/>
          <w:numId w:val="23"/>
        </w:numPr>
        <w:ind w:hanging="436"/>
        <w:rPr>
          <w:noProof/>
          <w:szCs w:val="24"/>
        </w:rPr>
      </w:pPr>
      <w:r w:rsidRPr="00953115">
        <w:rPr>
          <w:noProof/>
          <w:szCs w:val="24"/>
        </w:rPr>
        <w:t xml:space="preserve">All modules should have a designated </w:t>
      </w:r>
      <w:r w:rsidR="00D57B26" w:rsidRPr="00953115">
        <w:rPr>
          <w:noProof/>
          <w:szCs w:val="24"/>
        </w:rPr>
        <w:t>M</w:t>
      </w:r>
      <w:r w:rsidRPr="00953115">
        <w:rPr>
          <w:noProof/>
          <w:szCs w:val="24"/>
        </w:rPr>
        <w:t xml:space="preserve">odule </w:t>
      </w:r>
      <w:r w:rsidR="00D57B26" w:rsidRPr="00953115">
        <w:rPr>
          <w:noProof/>
          <w:szCs w:val="24"/>
        </w:rPr>
        <w:t>L</w:t>
      </w:r>
      <w:r w:rsidRPr="00953115">
        <w:rPr>
          <w:noProof/>
          <w:szCs w:val="24"/>
        </w:rPr>
        <w:t xml:space="preserve">eader responsible for the delivery and quality of the module.  The </w:t>
      </w:r>
      <w:r w:rsidR="00A47113" w:rsidRPr="00953115">
        <w:rPr>
          <w:noProof/>
          <w:szCs w:val="24"/>
        </w:rPr>
        <w:t xml:space="preserve">Module Leader </w:t>
      </w:r>
      <w:r w:rsidRPr="00953115">
        <w:rPr>
          <w:noProof/>
          <w:szCs w:val="24"/>
        </w:rPr>
        <w:t>is supported by a module teaching team.</w:t>
      </w:r>
    </w:p>
    <w:p w14:paraId="2358DE37" w14:textId="214C134D" w:rsidR="009957F2" w:rsidRPr="00FC307D" w:rsidRDefault="00116966" w:rsidP="3410FD34">
      <w:pPr>
        <w:pStyle w:val="Heading2"/>
        <w:rPr>
          <w:noProof/>
        </w:rPr>
      </w:pPr>
      <w:bookmarkStart w:id="30" w:name="Section_A_Para28"/>
      <w:bookmarkStart w:id="31" w:name="_Toc513843225"/>
      <w:bookmarkEnd w:id="30"/>
      <w:r w:rsidRPr="650714C8">
        <w:rPr>
          <w:noProof/>
        </w:rPr>
        <w:t>Revisions to the quality and regulatory framework</w:t>
      </w:r>
      <w:bookmarkEnd w:id="31"/>
    </w:p>
    <w:p w14:paraId="0C5CF91E" w14:textId="1BD022E1" w:rsidR="00116966" w:rsidRPr="00953115" w:rsidRDefault="00116966" w:rsidP="00953115">
      <w:pPr>
        <w:pStyle w:val="ListParagraph"/>
        <w:numPr>
          <w:ilvl w:val="0"/>
          <w:numId w:val="23"/>
        </w:numPr>
        <w:ind w:hanging="436"/>
        <w:rPr>
          <w:noProof/>
          <w:szCs w:val="24"/>
        </w:rPr>
      </w:pPr>
      <w:r w:rsidRPr="00953115">
        <w:rPr>
          <w:noProof/>
          <w:szCs w:val="24"/>
        </w:rPr>
        <w:t xml:space="preserve">The AQSH and regulatory policies and procedures are determined centrally in consultation with faculties, and revised on a regular basis (annually in the case of the procedures and regulations) to reflect changing </w:t>
      </w:r>
      <w:r w:rsidR="00D57B26" w:rsidRPr="00953115">
        <w:rPr>
          <w:noProof/>
          <w:szCs w:val="24"/>
        </w:rPr>
        <w:t xml:space="preserve">internal and external </w:t>
      </w:r>
      <w:r w:rsidRPr="00953115">
        <w:rPr>
          <w:noProof/>
          <w:szCs w:val="24"/>
        </w:rPr>
        <w:t>demands and in order to improve efficacy.  Any such changes are approved at University</w:t>
      </w:r>
      <w:r w:rsidR="00550716" w:rsidRPr="00953115">
        <w:rPr>
          <w:noProof/>
          <w:szCs w:val="24"/>
        </w:rPr>
        <w:t xml:space="preserve"> level</w:t>
      </w:r>
      <w:r w:rsidRPr="00953115">
        <w:rPr>
          <w:noProof/>
          <w:szCs w:val="24"/>
        </w:rPr>
        <w:t xml:space="preserve">.  Changes to the AQSH are approved by </w:t>
      </w:r>
      <w:r w:rsidR="00560E03" w:rsidRPr="00953115">
        <w:rPr>
          <w:noProof/>
          <w:szCs w:val="24"/>
        </w:rPr>
        <w:t>EC</w:t>
      </w:r>
      <w:r w:rsidRPr="00953115">
        <w:rPr>
          <w:noProof/>
          <w:szCs w:val="24"/>
        </w:rPr>
        <w:t xml:space="preserve">.  Academic regulations are approved by </w:t>
      </w:r>
      <w:r w:rsidR="00560E03" w:rsidRPr="00953115">
        <w:rPr>
          <w:noProof/>
          <w:szCs w:val="24"/>
        </w:rPr>
        <w:t xml:space="preserve">RFC </w:t>
      </w:r>
      <w:r w:rsidRPr="00953115">
        <w:rPr>
          <w:noProof/>
          <w:szCs w:val="24"/>
        </w:rPr>
        <w:t>and by the Universi</w:t>
      </w:r>
      <w:r w:rsidR="005F47D3" w:rsidRPr="00953115">
        <w:rPr>
          <w:noProof/>
          <w:szCs w:val="24"/>
        </w:rPr>
        <w:t>ty Research Degrees Committee (</w:t>
      </w:r>
      <w:r w:rsidRPr="00953115">
        <w:rPr>
          <w:noProof/>
          <w:szCs w:val="24"/>
        </w:rPr>
        <w:t xml:space="preserve">RDC) in the case of research degree regulations.  </w:t>
      </w:r>
    </w:p>
    <w:p w14:paraId="0D4028C4" w14:textId="77777777" w:rsidR="009957F2" w:rsidRPr="0098278F" w:rsidRDefault="009957F2" w:rsidP="009957F2">
      <w:pPr>
        <w:pStyle w:val="ListParagraph"/>
        <w:rPr>
          <w:rFonts w:cs="Arial"/>
          <w:noProof/>
          <w:szCs w:val="24"/>
        </w:rPr>
      </w:pPr>
    </w:p>
    <w:p w14:paraId="2007C39D" w14:textId="77777777" w:rsidR="00116966" w:rsidRPr="00953115" w:rsidRDefault="00116966" w:rsidP="00953115">
      <w:pPr>
        <w:pStyle w:val="ListParagraph"/>
        <w:numPr>
          <w:ilvl w:val="0"/>
          <w:numId w:val="23"/>
        </w:numPr>
        <w:ind w:hanging="436"/>
        <w:rPr>
          <w:noProof/>
          <w:szCs w:val="24"/>
        </w:rPr>
      </w:pPr>
      <w:r w:rsidRPr="299BAC92">
        <w:rPr>
          <w:noProof/>
        </w:rPr>
        <w:t>EC considers matters in relation to learning and teaching to ensure that full synergy is achieved between quality assurance and enhancement activities.  Responsibility for fulfilling procedural requirements is devolved to faculties.  This devolution is coupled with associated central monitoring and evaluation by the University’s deliberative structure.</w:t>
      </w:r>
    </w:p>
    <w:p w14:paraId="1E13FE57" w14:textId="2FDEBD5C" w:rsidR="299BAC92" w:rsidRDefault="299BAC92" w:rsidP="299BAC92">
      <w:pPr>
        <w:rPr>
          <w:noProof/>
          <w:szCs w:val="24"/>
        </w:rPr>
      </w:pPr>
    </w:p>
    <w:sectPr w:rsidR="299BAC92" w:rsidSect="002F00EC">
      <w:headerReference w:type="default" r:id="rId19"/>
      <w:footerReference w:type="default" r:id="rId20"/>
      <w:footerReference w:type="first" r:id="rId21"/>
      <w:pgSz w:w="11907" w:h="16840" w:code="9"/>
      <w:pgMar w:top="1105" w:right="1440" w:bottom="113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EA95" w14:textId="77777777" w:rsidR="00AA1FBD" w:rsidRDefault="00AA1FBD">
      <w:r>
        <w:separator/>
      </w:r>
    </w:p>
  </w:endnote>
  <w:endnote w:type="continuationSeparator" w:id="0">
    <w:p w14:paraId="24927D95" w14:textId="77777777" w:rsidR="00AA1FBD" w:rsidRDefault="00AA1FBD">
      <w:r>
        <w:continuationSeparator/>
      </w:r>
    </w:p>
  </w:endnote>
  <w:endnote w:type="continuationNotice" w:id="1">
    <w:p w14:paraId="4F3C820B" w14:textId="77777777" w:rsidR="00AA1FBD" w:rsidRDefault="00AA1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FF4B" w14:textId="77777777" w:rsidR="005B1B01" w:rsidRDefault="005B1B01" w:rsidP="00CC1999">
    <w:pPr>
      <w:pStyle w:val="Footer"/>
      <w:pBdr>
        <w:bottom w:val="single" w:sz="6" w:space="1" w:color="auto"/>
      </w:pBdr>
      <w:tabs>
        <w:tab w:val="clear" w:pos="4513"/>
        <w:tab w:val="center" w:pos="4536"/>
        <w:tab w:val="right" w:pos="9072"/>
      </w:tabs>
      <w:rPr>
        <w:rFonts w:cs="Arial"/>
        <w:sz w:val="16"/>
        <w:szCs w:val="16"/>
      </w:rPr>
    </w:pPr>
  </w:p>
  <w:p w14:paraId="7C4FC698" w14:textId="55887DF7" w:rsidR="005B1B01" w:rsidRPr="00550716" w:rsidRDefault="644A5EBD" w:rsidP="00CC1999">
    <w:pPr>
      <w:pStyle w:val="Footer"/>
      <w:tabs>
        <w:tab w:val="clear" w:pos="4513"/>
        <w:tab w:val="center" w:pos="4536"/>
        <w:tab w:val="right" w:pos="9072"/>
      </w:tabs>
      <w:rPr>
        <w:rFonts w:cs="Arial"/>
        <w:sz w:val="16"/>
        <w:szCs w:val="16"/>
      </w:rPr>
    </w:pPr>
    <w:proofErr w:type="spellStart"/>
    <w:r w:rsidRPr="644A5EBD">
      <w:rPr>
        <w:rFonts w:cs="Arial"/>
        <w:sz w:val="16"/>
        <w:szCs w:val="16"/>
      </w:rPr>
      <w:t>AQSH</w:t>
    </w:r>
    <w:proofErr w:type="spellEnd"/>
    <w:r w:rsidRPr="644A5EBD">
      <w:rPr>
        <w:rFonts w:cs="Arial"/>
        <w:sz w:val="16"/>
        <w:szCs w:val="16"/>
      </w:rPr>
      <w:t xml:space="preserve">: Introduction </w:t>
    </w:r>
    <w:r w:rsidR="00550716">
      <w:tab/>
    </w:r>
    <w:r w:rsidRPr="644A5EBD">
      <w:rPr>
        <w:sz w:val="16"/>
        <w:szCs w:val="16"/>
      </w:rPr>
      <w:t xml:space="preserve">                                                      202</w:t>
    </w:r>
    <w:r w:rsidR="00115E4E">
      <w:rPr>
        <w:sz w:val="16"/>
        <w:szCs w:val="16"/>
      </w:rPr>
      <w:t>5</w:t>
    </w:r>
    <w:r w:rsidRPr="644A5EBD">
      <w:rPr>
        <w:sz w:val="16"/>
        <w:szCs w:val="16"/>
      </w:rPr>
      <w:t>-2</w:t>
    </w:r>
    <w:r w:rsidR="00115E4E">
      <w:rPr>
        <w:sz w:val="16"/>
        <w:szCs w:val="16"/>
      </w:rPr>
      <w:t>6</w:t>
    </w:r>
    <w:r w:rsidRPr="644A5EBD">
      <w:rPr>
        <w:sz w:val="16"/>
        <w:szCs w:val="16"/>
      </w:rPr>
      <w:t xml:space="preserve">                                                              </w:t>
    </w:r>
    <w:r w:rsidRPr="644A5EBD">
      <w:rPr>
        <w:rFonts w:cs="Arial"/>
        <w:sz w:val="16"/>
        <w:szCs w:val="16"/>
      </w:rPr>
      <w:t xml:space="preserve">Page </w:t>
    </w:r>
    <w:r w:rsidR="00550716" w:rsidRPr="644A5EBD">
      <w:rPr>
        <w:rFonts w:cs="Arial"/>
        <w:b/>
        <w:bCs/>
        <w:noProof/>
        <w:sz w:val="16"/>
        <w:szCs w:val="16"/>
      </w:rPr>
      <w:fldChar w:fldCharType="begin"/>
    </w:r>
    <w:r w:rsidR="00550716" w:rsidRPr="644A5EBD">
      <w:rPr>
        <w:rFonts w:cs="Arial"/>
        <w:b/>
        <w:bCs/>
        <w:sz w:val="16"/>
        <w:szCs w:val="16"/>
      </w:rPr>
      <w:instrText xml:space="preserve"> PAGE </w:instrText>
    </w:r>
    <w:r w:rsidR="00550716" w:rsidRPr="644A5EBD">
      <w:rPr>
        <w:rFonts w:cs="Arial"/>
        <w:b/>
        <w:bCs/>
        <w:sz w:val="16"/>
        <w:szCs w:val="16"/>
      </w:rPr>
      <w:fldChar w:fldCharType="separate"/>
    </w:r>
    <w:r w:rsidRPr="644A5EBD">
      <w:rPr>
        <w:rFonts w:cs="Arial"/>
        <w:b/>
        <w:bCs/>
        <w:noProof/>
        <w:sz w:val="16"/>
        <w:szCs w:val="16"/>
      </w:rPr>
      <w:t>1</w:t>
    </w:r>
    <w:r w:rsidR="00550716" w:rsidRPr="644A5EBD">
      <w:rPr>
        <w:rFonts w:cs="Arial"/>
        <w:b/>
        <w:bCs/>
        <w:noProof/>
        <w:sz w:val="16"/>
        <w:szCs w:val="16"/>
      </w:rPr>
      <w:fldChar w:fldCharType="end"/>
    </w:r>
    <w:r w:rsidRPr="644A5EBD">
      <w:rPr>
        <w:rFonts w:cs="Arial"/>
        <w:sz w:val="16"/>
        <w:szCs w:val="16"/>
      </w:rPr>
      <w:t xml:space="preserve"> of </w:t>
    </w:r>
    <w:r w:rsidR="00550716" w:rsidRPr="644A5EBD">
      <w:rPr>
        <w:rFonts w:cs="Arial"/>
        <w:b/>
        <w:bCs/>
        <w:noProof/>
        <w:sz w:val="16"/>
        <w:szCs w:val="16"/>
      </w:rPr>
      <w:fldChar w:fldCharType="begin"/>
    </w:r>
    <w:r w:rsidR="00550716" w:rsidRPr="644A5EBD">
      <w:rPr>
        <w:rFonts w:cs="Arial"/>
        <w:b/>
        <w:bCs/>
        <w:sz w:val="16"/>
        <w:szCs w:val="16"/>
      </w:rPr>
      <w:instrText xml:space="preserve"> NUMPAGES  </w:instrText>
    </w:r>
    <w:r w:rsidR="00550716" w:rsidRPr="644A5EBD">
      <w:rPr>
        <w:rFonts w:cs="Arial"/>
        <w:b/>
        <w:bCs/>
        <w:sz w:val="16"/>
        <w:szCs w:val="16"/>
      </w:rPr>
      <w:fldChar w:fldCharType="separate"/>
    </w:r>
    <w:r w:rsidRPr="644A5EBD">
      <w:rPr>
        <w:rFonts w:cs="Arial"/>
        <w:b/>
        <w:bCs/>
        <w:noProof/>
        <w:sz w:val="16"/>
        <w:szCs w:val="16"/>
      </w:rPr>
      <w:t>4</w:t>
    </w:r>
    <w:r w:rsidR="00550716" w:rsidRPr="644A5EBD">
      <w:rPr>
        <w:rFonts w:cs="Arial"/>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FD2C" w14:textId="77777777" w:rsidR="005B1B01" w:rsidRDefault="005B1B01">
    <w:pPr>
      <w:pStyle w:val="Footer"/>
    </w:pPr>
    <w:r>
      <w:rPr>
        <w:sz w:val="16"/>
        <w:szCs w:val="16"/>
      </w:rPr>
      <w:t>________________________________________________________________________________________________________________</w:t>
    </w:r>
    <w:r w:rsidRPr="00CD1126">
      <w:rPr>
        <w:sz w:val="16"/>
        <w:szCs w:val="16"/>
      </w:rPr>
      <w:t>Academic Quality and Standards Handbook</w:t>
    </w:r>
    <w:r>
      <w:rPr>
        <w:sz w:val="16"/>
        <w:szCs w:val="16"/>
      </w:rPr>
      <w:t>: Section A</w:t>
    </w:r>
    <w:r>
      <w:rPr>
        <w:sz w:val="16"/>
        <w:szCs w:val="16"/>
      </w:rPr>
      <w:tab/>
      <w:t>2012-2013</w:t>
    </w:r>
    <w:r>
      <w:rPr>
        <w:sz w:val="16"/>
        <w:szCs w:val="16"/>
      </w:rPr>
      <w:tab/>
    </w:r>
    <w:r w:rsidRPr="00CD1126">
      <w:rPr>
        <w:sz w:val="16"/>
        <w:szCs w:val="16"/>
      </w:rPr>
      <w:t xml:space="preserve">Page </w:t>
    </w:r>
    <w:r w:rsidRPr="00CD1126">
      <w:rPr>
        <w:sz w:val="16"/>
        <w:szCs w:val="16"/>
      </w:rPr>
      <w:fldChar w:fldCharType="begin"/>
    </w:r>
    <w:r w:rsidRPr="00CD1126">
      <w:rPr>
        <w:sz w:val="16"/>
        <w:szCs w:val="16"/>
      </w:rPr>
      <w:instrText xml:space="preserve"> PAGE </w:instrText>
    </w:r>
    <w:r w:rsidRPr="00CD1126">
      <w:rPr>
        <w:sz w:val="16"/>
        <w:szCs w:val="16"/>
      </w:rPr>
      <w:fldChar w:fldCharType="separate"/>
    </w:r>
    <w:r>
      <w:rPr>
        <w:noProof/>
        <w:sz w:val="16"/>
        <w:szCs w:val="16"/>
      </w:rPr>
      <w:t>95</w:t>
    </w:r>
    <w:r w:rsidRPr="00CD1126">
      <w:rPr>
        <w:sz w:val="16"/>
        <w:szCs w:val="16"/>
      </w:rPr>
      <w:fldChar w:fldCharType="end"/>
    </w:r>
    <w:r w:rsidRPr="00CD1126">
      <w:rPr>
        <w:sz w:val="16"/>
        <w:szCs w:val="16"/>
      </w:rPr>
      <w:t xml:space="preserve"> of </w:t>
    </w:r>
    <w:r w:rsidRPr="00CD1126">
      <w:rPr>
        <w:sz w:val="16"/>
        <w:szCs w:val="16"/>
      </w:rPr>
      <w:fldChar w:fldCharType="begin"/>
    </w:r>
    <w:r w:rsidRPr="00CD1126">
      <w:rPr>
        <w:sz w:val="16"/>
        <w:szCs w:val="16"/>
      </w:rPr>
      <w:instrText xml:space="preserve"> NUMPAGES  </w:instrText>
    </w:r>
    <w:r w:rsidRPr="00CD1126">
      <w:rPr>
        <w:sz w:val="16"/>
        <w:szCs w:val="16"/>
      </w:rPr>
      <w:fldChar w:fldCharType="separate"/>
    </w:r>
    <w:r w:rsidR="004D03D8">
      <w:rPr>
        <w:noProof/>
        <w:sz w:val="16"/>
        <w:szCs w:val="16"/>
      </w:rPr>
      <w:t>4</w:t>
    </w:r>
    <w:r w:rsidRPr="00CD1126">
      <w:rPr>
        <w:sz w:val="16"/>
        <w:szCs w:val="16"/>
      </w:rPr>
      <w:fldChar w:fldCharType="end"/>
    </w:r>
  </w:p>
  <w:p w14:paraId="4EC96473" w14:textId="77777777" w:rsidR="005B1B01" w:rsidRDefault="005B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A21C" w14:textId="77777777" w:rsidR="00AA1FBD" w:rsidRDefault="00AA1FBD">
      <w:r>
        <w:separator/>
      </w:r>
    </w:p>
  </w:footnote>
  <w:footnote w:type="continuationSeparator" w:id="0">
    <w:p w14:paraId="47FAB2B0" w14:textId="77777777" w:rsidR="00AA1FBD" w:rsidRDefault="00AA1FBD">
      <w:r>
        <w:continuationSeparator/>
      </w:r>
    </w:p>
  </w:footnote>
  <w:footnote w:type="continuationNotice" w:id="1">
    <w:p w14:paraId="341FC3F2" w14:textId="77777777" w:rsidR="00AA1FBD" w:rsidRDefault="00AA1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3BFA" w14:textId="77777777" w:rsidR="005B1B01" w:rsidRPr="000F2D06" w:rsidRDefault="005B1B01" w:rsidP="00AA3661">
    <w:pPr>
      <w:pStyle w:val="Header"/>
      <w:tabs>
        <w:tab w:val="right" w:pos="9072"/>
      </w:tabs>
      <w:rPr>
        <w:rFonts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EC7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7890"/>
    <w:multiLevelType w:val="hybridMultilevel"/>
    <w:tmpl w:val="E6C24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56423"/>
    <w:multiLevelType w:val="hybridMultilevel"/>
    <w:tmpl w:val="DEE46D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0427AA"/>
    <w:multiLevelType w:val="hybridMultilevel"/>
    <w:tmpl w:val="C6D2E1CE"/>
    <w:lvl w:ilvl="0" w:tplc="08090001">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883AEE"/>
    <w:multiLevelType w:val="hybridMultilevel"/>
    <w:tmpl w:val="36C6D3A8"/>
    <w:lvl w:ilvl="0" w:tplc="1D58146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01B7B"/>
    <w:multiLevelType w:val="hybridMultilevel"/>
    <w:tmpl w:val="01903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A66C7"/>
    <w:multiLevelType w:val="hybridMultilevel"/>
    <w:tmpl w:val="F80A2E3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846BA"/>
    <w:multiLevelType w:val="hybridMultilevel"/>
    <w:tmpl w:val="07B61C4E"/>
    <w:lvl w:ilvl="0" w:tplc="08090001">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E259F8"/>
    <w:multiLevelType w:val="hybridMultilevel"/>
    <w:tmpl w:val="AE2C7E26"/>
    <w:lvl w:ilvl="0" w:tplc="08090001">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5414F0"/>
    <w:multiLevelType w:val="hybridMultilevel"/>
    <w:tmpl w:val="D766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405DC"/>
    <w:multiLevelType w:val="hybridMultilevel"/>
    <w:tmpl w:val="FAB20AAE"/>
    <w:lvl w:ilvl="0" w:tplc="08090001">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D1E067D"/>
    <w:multiLevelType w:val="hybridMultilevel"/>
    <w:tmpl w:val="D4AA1C18"/>
    <w:lvl w:ilvl="0" w:tplc="FFFFFFFF">
      <w:start w:val="1"/>
      <w:numFmt w:val="decimal"/>
      <w:lvlText w:val="%1."/>
      <w:lvlJc w:val="left"/>
      <w:pPr>
        <w:ind w:left="720" w:hanging="360"/>
      </w:pPr>
      <w:rPr>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30FA2"/>
    <w:multiLevelType w:val="hybridMultilevel"/>
    <w:tmpl w:val="E29A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B6EF7"/>
    <w:multiLevelType w:val="hybridMultilevel"/>
    <w:tmpl w:val="A0EAB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734B6"/>
    <w:multiLevelType w:val="hybridMultilevel"/>
    <w:tmpl w:val="602E575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4039A6"/>
    <w:multiLevelType w:val="hybridMultilevel"/>
    <w:tmpl w:val="A692B390"/>
    <w:lvl w:ilvl="0" w:tplc="08090001">
      <w:start w:val="1"/>
      <w:numFmt w:val="bullet"/>
      <w:lvlText w:val=""/>
      <w:lvlJc w:val="left"/>
      <w:pPr>
        <w:ind w:left="720" w:hanging="360"/>
      </w:pPr>
      <w:rPr>
        <w:rFonts w:ascii="Symbol" w:hAnsi="Symbol"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D4ED7"/>
    <w:multiLevelType w:val="hybridMultilevel"/>
    <w:tmpl w:val="8E086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34A97"/>
    <w:multiLevelType w:val="multilevel"/>
    <w:tmpl w:val="6FCA2B6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E696057"/>
    <w:multiLevelType w:val="hybridMultilevel"/>
    <w:tmpl w:val="6E201F1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FC2C6D"/>
    <w:multiLevelType w:val="hybridMultilevel"/>
    <w:tmpl w:val="91E8D65A"/>
    <w:lvl w:ilvl="0" w:tplc="213C6BE8">
      <w:start w:val="1"/>
      <w:numFmt w:val="decimal"/>
      <w:lvlText w:val="%1."/>
      <w:lvlJc w:val="left"/>
      <w:pPr>
        <w:ind w:left="720" w:hanging="360"/>
      </w:pPr>
      <w:rPr>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4A20E5"/>
    <w:multiLevelType w:val="hybridMultilevel"/>
    <w:tmpl w:val="5D8E7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1D2F9D"/>
    <w:multiLevelType w:val="hybridMultilevel"/>
    <w:tmpl w:val="F08A8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E00C51"/>
    <w:multiLevelType w:val="hybridMultilevel"/>
    <w:tmpl w:val="6CC4FFD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9C34A3"/>
    <w:multiLevelType w:val="hybridMultilevel"/>
    <w:tmpl w:val="36A26C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76ACF"/>
    <w:multiLevelType w:val="hybridMultilevel"/>
    <w:tmpl w:val="95D21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A06B5"/>
    <w:multiLevelType w:val="hybridMultilevel"/>
    <w:tmpl w:val="215AF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F3EB5"/>
    <w:multiLevelType w:val="hybridMultilevel"/>
    <w:tmpl w:val="BE320E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906A2"/>
    <w:multiLevelType w:val="hybridMultilevel"/>
    <w:tmpl w:val="EFC4B8E8"/>
    <w:lvl w:ilvl="0" w:tplc="51BAC814">
      <w:start w:val="1"/>
      <w:numFmt w:val="decimal"/>
      <w:lvlText w:val="%1."/>
      <w:lvlJc w:val="left"/>
      <w:pPr>
        <w:ind w:left="720" w:hanging="360"/>
      </w:pPr>
      <w:rPr>
        <w:rFonts w:ascii="Arial" w:hAnsi="Arial" w:cs="Arial"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463C8"/>
    <w:multiLevelType w:val="hybridMultilevel"/>
    <w:tmpl w:val="69A2EF48"/>
    <w:lvl w:ilvl="0" w:tplc="08090001">
      <w:start w:val="1"/>
      <w:numFmt w:val="bullet"/>
      <w:lvlText w:val=""/>
      <w:lvlJc w:val="left"/>
      <w:pPr>
        <w:ind w:left="1386" w:hanging="360"/>
      </w:pPr>
      <w:rPr>
        <w:rFonts w:ascii="Symbol" w:hAnsi="Symbol" w:hint="default"/>
        <w:color w:val="auto"/>
      </w:rPr>
    </w:lvl>
    <w:lvl w:ilvl="1" w:tplc="08090019">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9" w15:restartNumberingAfterBreak="0">
    <w:nsid w:val="6C7B04E0"/>
    <w:multiLevelType w:val="hybridMultilevel"/>
    <w:tmpl w:val="18EC88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527B9"/>
    <w:multiLevelType w:val="hybridMultilevel"/>
    <w:tmpl w:val="5D62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02B38"/>
    <w:multiLevelType w:val="hybridMultilevel"/>
    <w:tmpl w:val="660C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646050">
    <w:abstractNumId w:val="26"/>
  </w:num>
  <w:num w:numId="2" w16cid:durableId="1393239242">
    <w:abstractNumId w:val="27"/>
  </w:num>
  <w:num w:numId="3" w16cid:durableId="1300571933">
    <w:abstractNumId w:val="18"/>
  </w:num>
  <w:num w:numId="4" w16cid:durableId="1574461243">
    <w:abstractNumId w:val="7"/>
  </w:num>
  <w:num w:numId="5" w16cid:durableId="150488413">
    <w:abstractNumId w:val="3"/>
  </w:num>
  <w:num w:numId="6" w16cid:durableId="247545554">
    <w:abstractNumId w:val="10"/>
  </w:num>
  <w:num w:numId="7" w16cid:durableId="781845562">
    <w:abstractNumId w:val="28"/>
  </w:num>
  <w:num w:numId="8" w16cid:durableId="1472864049">
    <w:abstractNumId w:val="8"/>
  </w:num>
  <w:num w:numId="9" w16cid:durableId="1350061655">
    <w:abstractNumId w:val="15"/>
  </w:num>
  <w:num w:numId="10" w16cid:durableId="642662254">
    <w:abstractNumId w:val="14"/>
  </w:num>
  <w:num w:numId="11" w16cid:durableId="785271891">
    <w:abstractNumId w:val="23"/>
  </w:num>
  <w:num w:numId="12" w16cid:durableId="1509366175">
    <w:abstractNumId w:val="21"/>
  </w:num>
  <w:num w:numId="13" w16cid:durableId="371999936">
    <w:abstractNumId w:val="6"/>
  </w:num>
  <w:num w:numId="14" w16cid:durableId="2056537750">
    <w:abstractNumId w:val="0"/>
  </w:num>
  <w:num w:numId="15" w16cid:durableId="791630824">
    <w:abstractNumId w:val="9"/>
  </w:num>
  <w:num w:numId="16" w16cid:durableId="942612721">
    <w:abstractNumId w:val="29"/>
  </w:num>
  <w:num w:numId="17" w16cid:durableId="1077748492">
    <w:abstractNumId w:val="5"/>
  </w:num>
  <w:num w:numId="18" w16cid:durableId="1823618676">
    <w:abstractNumId w:val="22"/>
  </w:num>
  <w:num w:numId="19" w16cid:durableId="831415315">
    <w:abstractNumId w:val="2"/>
  </w:num>
  <w:num w:numId="20" w16cid:durableId="1210072277">
    <w:abstractNumId w:val="4"/>
  </w:num>
  <w:num w:numId="21" w16cid:durableId="1477331687">
    <w:abstractNumId w:val="17"/>
  </w:num>
  <w:num w:numId="22" w16cid:durableId="1307396779">
    <w:abstractNumId w:val="12"/>
  </w:num>
  <w:num w:numId="23" w16cid:durableId="1662855832">
    <w:abstractNumId w:val="19"/>
  </w:num>
  <w:num w:numId="24" w16cid:durableId="1551571660">
    <w:abstractNumId w:val="25"/>
  </w:num>
  <w:num w:numId="25" w16cid:durableId="718551253">
    <w:abstractNumId w:val="1"/>
  </w:num>
  <w:num w:numId="26" w16cid:durableId="844588788">
    <w:abstractNumId w:val="16"/>
  </w:num>
  <w:num w:numId="27" w16cid:durableId="507253327">
    <w:abstractNumId w:val="24"/>
  </w:num>
  <w:num w:numId="28" w16cid:durableId="486822780">
    <w:abstractNumId w:val="31"/>
  </w:num>
  <w:num w:numId="29" w16cid:durableId="234895565">
    <w:abstractNumId w:val="13"/>
  </w:num>
  <w:num w:numId="30" w16cid:durableId="1189179448">
    <w:abstractNumId w:val="30"/>
  </w:num>
  <w:num w:numId="31" w16cid:durableId="819619804">
    <w:abstractNumId w:val="20"/>
  </w:num>
  <w:num w:numId="32" w16cid:durableId="365447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66"/>
    <w:rsid w:val="00015BE5"/>
    <w:rsid w:val="0002560E"/>
    <w:rsid w:val="00037FD9"/>
    <w:rsid w:val="000471AA"/>
    <w:rsid w:val="00053E35"/>
    <w:rsid w:val="00060759"/>
    <w:rsid w:val="00064B27"/>
    <w:rsid w:val="00066988"/>
    <w:rsid w:val="000705AC"/>
    <w:rsid w:val="000875AD"/>
    <w:rsid w:val="000A3F0C"/>
    <w:rsid w:val="000D43FB"/>
    <w:rsid w:val="000E4877"/>
    <w:rsid w:val="00104587"/>
    <w:rsid w:val="00115E4E"/>
    <w:rsid w:val="00116966"/>
    <w:rsid w:val="00126400"/>
    <w:rsid w:val="00133221"/>
    <w:rsid w:val="00144DAB"/>
    <w:rsid w:val="00155710"/>
    <w:rsid w:val="001715E4"/>
    <w:rsid w:val="001724CE"/>
    <w:rsid w:val="001736B2"/>
    <w:rsid w:val="00182CAE"/>
    <w:rsid w:val="00191DA3"/>
    <w:rsid w:val="00196BE9"/>
    <w:rsid w:val="00196C00"/>
    <w:rsid w:val="001A370F"/>
    <w:rsid w:val="001B4E82"/>
    <w:rsid w:val="001B5233"/>
    <w:rsid w:val="001D0234"/>
    <w:rsid w:val="00211316"/>
    <w:rsid w:val="00224B2D"/>
    <w:rsid w:val="00224BBC"/>
    <w:rsid w:val="00232579"/>
    <w:rsid w:val="00240AB2"/>
    <w:rsid w:val="002545D1"/>
    <w:rsid w:val="00265093"/>
    <w:rsid w:val="00274CD6"/>
    <w:rsid w:val="00283E9E"/>
    <w:rsid w:val="00287A5F"/>
    <w:rsid w:val="00293F26"/>
    <w:rsid w:val="002B73F2"/>
    <w:rsid w:val="002D06A5"/>
    <w:rsid w:val="002D19E4"/>
    <w:rsid w:val="002E4BC7"/>
    <w:rsid w:val="002F00EC"/>
    <w:rsid w:val="002F0E60"/>
    <w:rsid w:val="003008B0"/>
    <w:rsid w:val="00310438"/>
    <w:rsid w:val="00310EDB"/>
    <w:rsid w:val="00323193"/>
    <w:rsid w:val="00325423"/>
    <w:rsid w:val="00337689"/>
    <w:rsid w:val="003415E9"/>
    <w:rsid w:val="0036120C"/>
    <w:rsid w:val="00371962"/>
    <w:rsid w:val="00376AF1"/>
    <w:rsid w:val="00392142"/>
    <w:rsid w:val="003940AD"/>
    <w:rsid w:val="003A17F3"/>
    <w:rsid w:val="003B7632"/>
    <w:rsid w:val="003C4615"/>
    <w:rsid w:val="003D175A"/>
    <w:rsid w:val="003D245B"/>
    <w:rsid w:val="003D7938"/>
    <w:rsid w:val="003E52EF"/>
    <w:rsid w:val="0042042E"/>
    <w:rsid w:val="00445235"/>
    <w:rsid w:val="00466319"/>
    <w:rsid w:val="0048450B"/>
    <w:rsid w:val="00494901"/>
    <w:rsid w:val="004A456C"/>
    <w:rsid w:val="004B1403"/>
    <w:rsid w:val="004B302B"/>
    <w:rsid w:val="004C0C2E"/>
    <w:rsid w:val="004C3F0C"/>
    <w:rsid w:val="004D03D8"/>
    <w:rsid w:val="004D3537"/>
    <w:rsid w:val="004D3F47"/>
    <w:rsid w:val="004D5775"/>
    <w:rsid w:val="004D7D4B"/>
    <w:rsid w:val="00506F01"/>
    <w:rsid w:val="0051170C"/>
    <w:rsid w:val="00522435"/>
    <w:rsid w:val="00527ED8"/>
    <w:rsid w:val="00531837"/>
    <w:rsid w:val="00546814"/>
    <w:rsid w:val="00546DAF"/>
    <w:rsid w:val="00550716"/>
    <w:rsid w:val="005575D0"/>
    <w:rsid w:val="00560E03"/>
    <w:rsid w:val="00582218"/>
    <w:rsid w:val="0058361D"/>
    <w:rsid w:val="00596A38"/>
    <w:rsid w:val="005B1B01"/>
    <w:rsid w:val="005C3600"/>
    <w:rsid w:val="005D25B4"/>
    <w:rsid w:val="005E386D"/>
    <w:rsid w:val="005F47D3"/>
    <w:rsid w:val="005F71D5"/>
    <w:rsid w:val="0061112B"/>
    <w:rsid w:val="00613D44"/>
    <w:rsid w:val="0062031A"/>
    <w:rsid w:val="00621DEE"/>
    <w:rsid w:val="00622076"/>
    <w:rsid w:val="0062758B"/>
    <w:rsid w:val="0064165D"/>
    <w:rsid w:val="006471DA"/>
    <w:rsid w:val="00657012"/>
    <w:rsid w:val="006864F0"/>
    <w:rsid w:val="006878B3"/>
    <w:rsid w:val="00693272"/>
    <w:rsid w:val="006A5BA5"/>
    <w:rsid w:val="006C6CEE"/>
    <w:rsid w:val="006D561B"/>
    <w:rsid w:val="006F36A5"/>
    <w:rsid w:val="006F38D8"/>
    <w:rsid w:val="007139C8"/>
    <w:rsid w:val="00714C1D"/>
    <w:rsid w:val="0073196B"/>
    <w:rsid w:val="00733619"/>
    <w:rsid w:val="00733CB0"/>
    <w:rsid w:val="00757829"/>
    <w:rsid w:val="007628D7"/>
    <w:rsid w:val="00796AC6"/>
    <w:rsid w:val="007C180D"/>
    <w:rsid w:val="007D6B6C"/>
    <w:rsid w:val="007E0000"/>
    <w:rsid w:val="008045C7"/>
    <w:rsid w:val="00827974"/>
    <w:rsid w:val="0086579C"/>
    <w:rsid w:val="00873977"/>
    <w:rsid w:val="00874BB5"/>
    <w:rsid w:val="00881A6A"/>
    <w:rsid w:val="00884A34"/>
    <w:rsid w:val="0089241F"/>
    <w:rsid w:val="00895A3E"/>
    <w:rsid w:val="008B7390"/>
    <w:rsid w:val="008D3D86"/>
    <w:rsid w:val="008E0B24"/>
    <w:rsid w:val="008E1689"/>
    <w:rsid w:val="008E7342"/>
    <w:rsid w:val="008F3641"/>
    <w:rsid w:val="008F6417"/>
    <w:rsid w:val="00905A01"/>
    <w:rsid w:val="009101C8"/>
    <w:rsid w:val="009179D2"/>
    <w:rsid w:val="00917E0B"/>
    <w:rsid w:val="00933118"/>
    <w:rsid w:val="00933B7E"/>
    <w:rsid w:val="00933D46"/>
    <w:rsid w:val="00934DEF"/>
    <w:rsid w:val="00953115"/>
    <w:rsid w:val="009542C5"/>
    <w:rsid w:val="00954B4F"/>
    <w:rsid w:val="00956873"/>
    <w:rsid w:val="0098278F"/>
    <w:rsid w:val="00990823"/>
    <w:rsid w:val="009957F2"/>
    <w:rsid w:val="009A5A25"/>
    <w:rsid w:val="009B10BA"/>
    <w:rsid w:val="009B5F38"/>
    <w:rsid w:val="009D08ED"/>
    <w:rsid w:val="009D3E98"/>
    <w:rsid w:val="009D44A1"/>
    <w:rsid w:val="009D5199"/>
    <w:rsid w:val="009D7AB3"/>
    <w:rsid w:val="009E252F"/>
    <w:rsid w:val="009F1C71"/>
    <w:rsid w:val="009F4841"/>
    <w:rsid w:val="00A100EA"/>
    <w:rsid w:val="00A3244B"/>
    <w:rsid w:val="00A44DB0"/>
    <w:rsid w:val="00A46D7C"/>
    <w:rsid w:val="00A47113"/>
    <w:rsid w:val="00A63CD1"/>
    <w:rsid w:val="00A6531F"/>
    <w:rsid w:val="00A750B8"/>
    <w:rsid w:val="00A82E08"/>
    <w:rsid w:val="00A86C5F"/>
    <w:rsid w:val="00A87625"/>
    <w:rsid w:val="00A93A93"/>
    <w:rsid w:val="00A94787"/>
    <w:rsid w:val="00AA1F64"/>
    <w:rsid w:val="00AA1FBD"/>
    <w:rsid w:val="00AA3661"/>
    <w:rsid w:val="00AA65B0"/>
    <w:rsid w:val="00AB0154"/>
    <w:rsid w:val="00AD70A3"/>
    <w:rsid w:val="00B15D74"/>
    <w:rsid w:val="00B17E2C"/>
    <w:rsid w:val="00B30A70"/>
    <w:rsid w:val="00B3152E"/>
    <w:rsid w:val="00B37296"/>
    <w:rsid w:val="00B50D96"/>
    <w:rsid w:val="00B70E17"/>
    <w:rsid w:val="00BA1544"/>
    <w:rsid w:val="00BA45D7"/>
    <w:rsid w:val="00BA65AA"/>
    <w:rsid w:val="00BB6F45"/>
    <w:rsid w:val="00BC10A1"/>
    <w:rsid w:val="00BC6230"/>
    <w:rsid w:val="00BF234D"/>
    <w:rsid w:val="00C046D9"/>
    <w:rsid w:val="00C10F88"/>
    <w:rsid w:val="00C2677A"/>
    <w:rsid w:val="00C348C5"/>
    <w:rsid w:val="00C35175"/>
    <w:rsid w:val="00C36E92"/>
    <w:rsid w:val="00C40450"/>
    <w:rsid w:val="00C77767"/>
    <w:rsid w:val="00C86EFB"/>
    <w:rsid w:val="00C97D94"/>
    <w:rsid w:val="00CA375A"/>
    <w:rsid w:val="00CB23F0"/>
    <w:rsid w:val="00CB4023"/>
    <w:rsid w:val="00CC1999"/>
    <w:rsid w:val="00CC1EFF"/>
    <w:rsid w:val="00CC5408"/>
    <w:rsid w:val="00CD4F44"/>
    <w:rsid w:val="00CF0436"/>
    <w:rsid w:val="00CF2BFF"/>
    <w:rsid w:val="00D03AE2"/>
    <w:rsid w:val="00D06497"/>
    <w:rsid w:val="00D23F73"/>
    <w:rsid w:val="00D25016"/>
    <w:rsid w:val="00D26786"/>
    <w:rsid w:val="00D3773D"/>
    <w:rsid w:val="00D57B26"/>
    <w:rsid w:val="00D624B8"/>
    <w:rsid w:val="00D65519"/>
    <w:rsid w:val="00D67F79"/>
    <w:rsid w:val="00D75A91"/>
    <w:rsid w:val="00D80405"/>
    <w:rsid w:val="00D81AB9"/>
    <w:rsid w:val="00D82138"/>
    <w:rsid w:val="00DA71A6"/>
    <w:rsid w:val="00DB7DCF"/>
    <w:rsid w:val="00DC1B4A"/>
    <w:rsid w:val="00DD1FFF"/>
    <w:rsid w:val="00DD6BAD"/>
    <w:rsid w:val="00E23364"/>
    <w:rsid w:val="00E4107C"/>
    <w:rsid w:val="00EE5295"/>
    <w:rsid w:val="00EF43FF"/>
    <w:rsid w:val="00EF48FB"/>
    <w:rsid w:val="00F04374"/>
    <w:rsid w:val="00F1193D"/>
    <w:rsid w:val="00F12091"/>
    <w:rsid w:val="00F15E77"/>
    <w:rsid w:val="00F31BE1"/>
    <w:rsid w:val="00F43B92"/>
    <w:rsid w:val="00F510E6"/>
    <w:rsid w:val="00F55617"/>
    <w:rsid w:val="00F55A1B"/>
    <w:rsid w:val="00F57DC0"/>
    <w:rsid w:val="00F70F8C"/>
    <w:rsid w:val="00F77455"/>
    <w:rsid w:val="00F82965"/>
    <w:rsid w:val="00FA098A"/>
    <w:rsid w:val="00FA1CB7"/>
    <w:rsid w:val="00FA26F9"/>
    <w:rsid w:val="00FB2D59"/>
    <w:rsid w:val="00FC307D"/>
    <w:rsid w:val="00FF3D30"/>
    <w:rsid w:val="00FF6338"/>
    <w:rsid w:val="1AD146E5"/>
    <w:rsid w:val="1D1C7262"/>
    <w:rsid w:val="255A8702"/>
    <w:rsid w:val="299BAC92"/>
    <w:rsid w:val="3410FD34"/>
    <w:rsid w:val="3638B8A3"/>
    <w:rsid w:val="491B4E45"/>
    <w:rsid w:val="524C6E73"/>
    <w:rsid w:val="644A5EBD"/>
    <w:rsid w:val="6507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84CC7"/>
  <w15:chartTrackingRefBased/>
  <w15:docId w15:val="{15BB86FE-D386-4CE9-9179-1A15963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70F"/>
    <w:pPr>
      <w:widowControl w:val="0"/>
    </w:pPr>
    <w:rPr>
      <w:rFonts w:ascii="Arial" w:eastAsia="Times New Roman" w:hAnsi="Arial"/>
      <w:snapToGrid w:val="0"/>
      <w:sz w:val="24"/>
      <w:lang w:eastAsia="en-US"/>
    </w:rPr>
  </w:style>
  <w:style w:type="paragraph" w:styleId="Heading1">
    <w:name w:val="heading 1"/>
    <w:basedOn w:val="Normal"/>
    <w:next w:val="Normal"/>
    <w:link w:val="Heading1Char"/>
    <w:qFormat/>
    <w:rsid w:val="0098278F"/>
    <w:pPr>
      <w:keepNext/>
      <w:widowControl/>
      <w:outlineLvl w:val="0"/>
    </w:pPr>
    <w:rPr>
      <w:b/>
      <w:snapToGrid/>
      <w:sz w:val="36"/>
      <w:lang w:val="x-none" w:eastAsia="en-GB"/>
    </w:rPr>
  </w:style>
  <w:style w:type="paragraph" w:styleId="Heading2">
    <w:name w:val="heading 2"/>
    <w:basedOn w:val="Normal"/>
    <w:next w:val="Normal"/>
    <w:link w:val="Heading2Char"/>
    <w:uiPriority w:val="9"/>
    <w:unhideWhenUsed/>
    <w:qFormat/>
    <w:rsid w:val="00E23364"/>
    <w:pPr>
      <w:keepNext/>
      <w:spacing w:before="240" w:after="240"/>
      <w:outlineLvl w:val="1"/>
    </w:pPr>
    <w:rPr>
      <w:rFonts w:eastAsiaTheme="majorEastAsia" w:cstheme="majorBidi"/>
      <w:b/>
      <w:bCs/>
      <w:iCs/>
      <w:sz w:val="28"/>
      <w:szCs w:val="28"/>
    </w:rPr>
  </w:style>
  <w:style w:type="paragraph" w:styleId="Heading3">
    <w:name w:val="heading 3"/>
    <w:basedOn w:val="Normal"/>
    <w:next w:val="Normal"/>
    <w:link w:val="Heading3Char"/>
    <w:qFormat/>
    <w:rsid w:val="0098278F"/>
    <w:pPr>
      <w:keepNext/>
      <w:outlineLvl w:val="2"/>
    </w:pPr>
    <w:rPr>
      <w:b/>
      <w:bCs/>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78F"/>
    <w:rPr>
      <w:rFonts w:ascii="Arial" w:eastAsia="Times New Roman" w:hAnsi="Arial"/>
      <w:b/>
      <w:sz w:val="36"/>
      <w:lang w:val="x-none"/>
    </w:rPr>
  </w:style>
  <w:style w:type="character" w:customStyle="1" w:styleId="Heading3Char">
    <w:name w:val="Heading 3 Char"/>
    <w:link w:val="Heading3"/>
    <w:rsid w:val="0098278F"/>
    <w:rPr>
      <w:rFonts w:ascii="Arial" w:eastAsia="Times New Roman" w:hAnsi="Arial"/>
      <w:b/>
      <w:bCs/>
      <w:snapToGrid w:val="0"/>
      <w:sz w:val="24"/>
      <w:szCs w:val="26"/>
      <w:lang w:eastAsia="x-none"/>
    </w:rPr>
  </w:style>
  <w:style w:type="paragraph" w:styleId="Header">
    <w:name w:val="header"/>
    <w:basedOn w:val="Normal"/>
    <w:link w:val="HeaderChar"/>
    <w:uiPriority w:val="99"/>
    <w:unhideWhenUsed/>
    <w:rsid w:val="00116966"/>
    <w:pPr>
      <w:tabs>
        <w:tab w:val="center" w:pos="4513"/>
        <w:tab w:val="right" w:pos="9026"/>
      </w:tabs>
    </w:pPr>
    <w:rPr>
      <w:lang w:eastAsia="x-none"/>
    </w:rPr>
  </w:style>
  <w:style w:type="character" w:customStyle="1" w:styleId="HeaderChar">
    <w:name w:val="Header Char"/>
    <w:link w:val="Header"/>
    <w:uiPriority w:val="99"/>
    <w:rsid w:val="00116966"/>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6966"/>
    <w:pPr>
      <w:tabs>
        <w:tab w:val="center" w:pos="4513"/>
        <w:tab w:val="right" w:pos="9026"/>
      </w:tabs>
    </w:pPr>
    <w:rPr>
      <w:lang w:eastAsia="x-none"/>
    </w:rPr>
  </w:style>
  <w:style w:type="character" w:customStyle="1" w:styleId="FooterChar">
    <w:name w:val="Footer Char"/>
    <w:link w:val="Footer"/>
    <w:uiPriority w:val="99"/>
    <w:rsid w:val="00116966"/>
    <w:rPr>
      <w:rFonts w:ascii="Times New Roman" w:eastAsia="Times New Roman" w:hAnsi="Times New Roman" w:cs="Times New Roman"/>
      <w:snapToGrid w:val="0"/>
      <w:sz w:val="24"/>
      <w:szCs w:val="20"/>
      <w:lang w:val="en-US"/>
    </w:rPr>
  </w:style>
  <w:style w:type="paragraph" w:customStyle="1" w:styleId="Default">
    <w:name w:val="Default"/>
    <w:rsid w:val="00116966"/>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16966"/>
    <w:pPr>
      <w:spacing w:after="120" w:line="480" w:lineRule="auto"/>
      <w:ind w:left="283"/>
    </w:pPr>
    <w:rPr>
      <w:lang w:eastAsia="x-none"/>
    </w:rPr>
  </w:style>
  <w:style w:type="character" w:customStyle="1" w:styleId="BodyTextIndent2Char">
    <w:name w:val="Body Text Indent 2 Char"/>
    <w:link w:val="BodyTextIndent2"/>
    <w:rsid w:val="00116966"/>
    <w:rPr>
      <w:rFonts w:ascii="Times New Roman" w:eastAsia="Times New Roman" w:hAnsi="Times New Roman" w:cs="Times New Roman"/>
      <w:snapToGrid w:val="0"/>
      <w:sz w:val="24"/>
      <w:szCs w:val="20"/>
      <w:lang w:val="en-US"/>
    </w:rPr>
  </w:style>
  <w:style w:type="character" w:styleId="Hyperlink">
    <w:name w:val="Hyperlink"/>
    <w:uiPriority w:val="99"/>
    <w:rsid w:val="00116966"/>
    <w:rPr>
      <w:color w:val="0000FF"/>
      <w:u w:val="single"/>
    </w:rPr>
  </w:style>
  <w:style w:type="paragraph" w:customStyle="1" w:styleId="ColourfulListAccent11">
    <w:name w:val="Colourful List – Accent 11"/>
    <w:basedOn w:val="Normal"/>
    <w:uiPriority w:val="34"/>
    <w:qFormat/>
    <w:rsid w:val="00116966"/>
    <w:pPr>
      <w:widowControl/>
      <w:autoSpaceDE w:val="0"/>
      <w:autoSpaceDN w:val="0"/>
      <w:ind w:left="720"/>
    </w:pPr>
    <w:rPr>
      <w:rFonts w:eastAsia="SimSun"/>
      <w:snapToGrid/>
      <w:sz w:val="22"/>
      <w:szCs w:val="22"/>
      <w:lang w:eastAsia="zh-CN"/>
    </w:rPr>
  </w:style>
  <w:style w:type="paragraph" w:styleId="BalloonText">
    <w:name w:val="Balloon Text"/>
    <w:basedOn w:val="Normal"/>
    <w:link w:val="BalloonTextChar"/>
    <w:uiPriority w:val="99"/>
    <w:semiHidden/>
    <w:unhideWhenUsed/>
    <w:rsid w:val="006A5BA5"/>
    <w:rPr>
      <w:rFonts w:ascii="Tahoma" w:hAnsi="Tahoma" w:cs="Tahoma"/>
      <w:sz w:val="16"/>
      <w:szCs w:val="16"/>
    </w:rPr>
  </w:style>
  <w:style w:type="character" w:customStyle="1" w:styleId="BalloonTextChar">
    <w:name w:val="Balloon Text Char"/>
    <w:link w:val="BalloonText"/>
    <w:uiPriority w:val="99"/>
    <w:semiHidden/>
    <w:rsid w:val="006A5BA5"/>
    <w:rPr>
      <w:rFonts w:ascii="Tahoma" w:eastAsia="Times New Roman" w:hAnsi="Tahoma" w:cs="Tahoma"/>
      <w:snapToGrid w:val="0"/>
      <w:sz w:val="16"/>
      <w:szCs w:val="16"/>
      <w:lang w:val="en-US" w:eastAsia="en-US"/>
    </w:rPr>
  </w:style>
  <w:style w:type="character" w:styleId="FollowedHyperlink">
    <w:name w:val="FollowedHyperlink"/>
    <w:uiPriority w:val="99"/>
    <w:semiHidden/>
    <w:unhideWhenUsed/>
    <w:rsid w:val="008E0B24"/>
    <w:rPr>
      <w:color w:val="800080"/>
      <w:u w:val="single"/>
    </w:rPr>
  </w:style>
  <w:style w:type="paragraph" w:styleId="ListParagraph">
    <w:name w:val="List Paragraph"/>
    <w:basedOn w:val="Normal"/>
    <w:uiPriority w:val="34"/>
    <w:qFormat/>
    <w:rsid w:val="002F00EC"/>
    <w:pPr>
      <w:ind w:left="720"/>
    </w:pPr>
  </w:style>
  <w:style w:type="table" w:styleId="TableGrid">
    <w:name w:val="Table Grid"/>
    <w:basedOn w:val="TableNormal"/>
    <w:uiPriority w:val="59"/>
    <w:rsid w:val="00F04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87625"/>
    <w:rPr>
      <w:sz w:val="16"/>
      <w:szCs w:val="16"/>
    </w:rPr>
  </w:style>
  <w:style w:type="paragraph" w:styleId="CommentText">
    <w:name w:val="annotation text"/>
    <w:basedOn w:val="Normal"/>
    <w:link w:val="CommentTextChar"/>
    <w:uiPriority w:val="99"/>
    <w:semiHidden/>
    <w:unhideWhenUsed/>
    <w:rsid w:val="00A87625"/>
    <w:rPr>
      <w:sz w:val="20"/>
    </w:rPr>
  </w:style>
  <w:style w:type="character" w:customStyle="1" w:styleId="CommentTextChar">
    <w:name w:val="Comment Text Char"/>
    <w:link w:val="CommentText"/>
    <w:uiPriority w:val="99"/>
    <w:semiHidden/>
    <w:rsid w:val="00A87625"/>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A87625"/>
    <w:rPr>
      <w:b/>
      <w:bCs/>
    </w:rPr>
  </w:style>
  <w:style w:type="character" w:customStyle="1" w:styleId="CommentSubjectChar">
    <w:name w:val="Comment Subject Char"/>
    <w:link w:val="CommentSubject"/>
    <w:uiPriority w:val="99"/>
    <w:semiHidden/>
    <w:rsid w:val="00A87625"/>
    <w:rPr>
      <w:rFonts w:ascii="Times New Roman" w:eastAsia="Times New Roman" w:hAnsi="Times New Roman"/>
      <w:b/>
      <w:bCs/>
      <w:snapToGrid w:val="0"/>
      <w:lang w:val="en-US" w:eastAsia="en-US"/>
    </w:rPr>
  </w:style>
  <w:style w:type="character" w:styleId="UnresolvedMention">
    <w:name w:val="Unresolved Mention"/>
    <w:uiPriority w:val="99"/>
    <w:semiHidden/>
    <w:unhideWhenUsed/>
    <w:rsid w:val="007139C8"/>
    <w:rPr>
      <w:color w:val="605E5C"/>
      <w:shd w:val="clear" w:color="auto" w:fill="E1DFDD"/>
    </w:rPr>
  </w:style>
  <w:style w:type="character" w:customStyle="1" w:styleId="Heading2Char">
    <w:name w:val="Heading 2 Char"/>
    <w:basedOn w:val="DefaultParagraphFont"/>
    <w:link w:val="Heading2"/>
    <w:uiPriority w:val="9"/>
    <w:rsid w:val="00E23364"/>
    <w:rPr>
      <w:rFonts w:ascii="Arial" w:eastAsiaTheme="majorEastAsia" w:hAnsi="Arial" w:cstheme="majorBidi"/>
      <w:b/>
      <w:bCs/>
      <w:iCs/>
      <w:snapToGrid w:val="0"/>
      <w:sz w:val="28"/>
      <w:szCs w:val="28"/>
      <w:lang w:eastAsia="en-US"/>
    </w:rPr>
  </w:style>
  <w:style w:type="paragraph" w:styleId="TOCHeading">
    <w:name w:val="TOC Heading"/>
    <w:basedOn w:val="Heading1"/>
    <w:next w:val="Normal"/>
    <w:uiPriority w:val="39"/>
    <w:unhideWhenUsed/>
    <w:qFormat/>
    <w:rsid w:val="00613D44"/>
    <w:pPr>
      <w:keepLines/>
      <w:spacing w:line="259" w:lineRule="auto"/>
      <w:outlineLvl w:val="9"/>
    </w:pPr>
    <w:rPr>
      <w:rFonts w:asciiTheme="majorHAnsi" w:eastAsiaTheme="majorEastAsia" w:hAnsiTheme="majorHAnsi" w:cstheme="majorBidi"/>
      <w:b w:val="0"/>
      <w:color w:val="2F5496" w:themeColor="accent1" w:themeShade="BF"/>
      <w:szCs w:val="32"/>
      <w:lang w:val="en-GB"/>
    </w:rPr>
  </w:style>
  <w:style w:type="paragraph" w:styleId="TOC3">
    <w:name w:val="toc 3"/>
    <w:basedOn w:val="Normal"/>
    <w:next w:val="Normal"/>
    <w:autoRedefine/>
    <w:uiPriority w:val="39"/>
    <w:unhideWhenUsed/>
    <w:rsid w:val="00613D44"/>
    <w:pPr>
      <w:spacing w:after="100"/>
      <w:ind w:left="480"/>
    </w:pPr>
  </w:style>
  <w:style w:type="paragraph" w:styleId="TOC2">
    <w:name w:val="toc 2"/>
    <w:basedOn w:val="Normal"/>
    <w:next w:val="Normal"/>
    <w:autoRedefine/>
    <w:uiPriority w:val="39"/>
    <w:unhideWhenUsed/>
    <w:rsid w:val="00956873"/>
    <w:pPr>
      <w:tabs>
        <w:tab w:val="right" w:leader="dot" w:pos="9017"/>
      </w:tabs>
      <w:spacing w:after="100"/>
      <w:ind w:left="240"/>
    </w:pPr>
  </w:style>
  <w:style w:type="paragraph" w:styleId="Revision">
    <w:name w:val="Revision"/>
    <w:hidden/>
    <w:uiPriority w:val="99"/>
    <w:semiHidden/>
    <w:rsid w:val="00066988"/>
    <w:rPr>
      <w:rFonts w:ascii="Arial" w:eastAsia="Times New Roman" w:hAnsi="Arial"/>
      <w:snapToGrid w:val="0"/>
      <w:sz w:val="24"/>
      <w:lang w:eastAsia="en-US"/>
    </w:rPr>
  </w:style>
  <w:style w:type="paragraph" w:styleId="TOC1">
    <w:name w:val="toc 1"/>
    <w:basedOn w:val="Normal"/>
    <w:next w:val="Normal"/>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ngstonuniversity.sharepoint.com/sites/TownHouseStrategy" TargetMode="External"/><Relationship Id="rId18"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kingston.ac.uk/aboutkingstonuniversity/howtheuniversityworks/policiesandregulations/" TargetMode="External"/><Relationship Id="rId17" Type="http://schemas.openxmlformats.org/officeDocument/2006/relationships/hyperlink" Target="https://www.kingston.ac.uk/aboutkingstonuniversity/howtheuniversityworks/policiesandregulations/" TargetMode="External"/><Relationship Id="rId2" Type="http://schemas.openxmlformats.org/officeDocument/2006/relationships/customXml" Target="../customXml/item2.xml"/><Relationship Id="rId16" Type="http://schemas.openxmlformats.org/officeDocument/2006/relationships/hyperlink" Target="https://kingstonuniversity.sharepoint.com/sites/Committ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about/governa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aboutkingstonuniversity/howtheuniversityworks/policiesandregul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Munalula, Tete</DisplayName>
        <AccountId>2137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F10E-EC96-48DA-9BDF-F4E13061C577}">
  <ds:schemaRefs>
    <ds:schemaRef ds:uri="http://schemas.microsoft.com/office/2006/metadata/longProperties"/>
  </ds:schemaRefs>
</ds:datastoreItem>
</file>

<file path=customXml/itemProps2.xml><?xml version="1.0" encoding="utf-8"?>
<ds:datastoreItem xmlns:ds="http://schemas.openxmlformats.org/officeDocument/2006/customXml" ds:itemID="{98C608DB-7CE7-4EC2-A8BA-D537DC7C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D083C-BAD1-48A9-9549-1AFFB898BD94}">
  <ds:schemaRefs>
    <ds:schemaRef ds:uri="http://schemas.openxmlformats.org/officeDocument/2006/bibliography"/>
  </ds:schemaRefs>
</ds:datastoreItem>
</file>

<file path=customXml/itemProps4.xml><?xml version="1.0" encoding="utf-8"?>
<ds:datastoreItem xmlns:ds="http://schemas.openxmlformats.org/officeDocument/2006/customXml" ds:itemID="{4F26CE94-FA66-4D96-8F52-565810FA2B35}">
  <ds:schemaRefs>
    <ds:schemaRef ds:uri="http://purl.org/dc/terms/"/>
    <ds:schemaRef ds:uri="http://schemas.microsoft.com/office/2006/documentManagement/types"/>
    <ds:schemaRef ds:uri="http://schemas.openxmlformats.org/package/2006/metadata/core-properties"/>
    <ds:schemaRef ds:uri="3949bc56-6107-4a37-a900-858857adfede"/>
    <ds:schemaRef ds:uri="http://purl.org/dc/elements/1.1/"/>
    <ds:schemaRef ds:uri="http://schemas.microsoft.com/office/infopath/2007/PartnerControls"/>
    <ds:schemaRef ds:uri="http://www.w3.org/XML/1998/namespace"/>
    <ds:schemaRef ds:uri="http://schemas.microsoft.com/office/2006/metadata/properties"/>
    <ds:schemaRef ds:uri="cca6b130-34ce-479a-80ad-5918b2c7d9b9"/>
    <ds:schemaRef ds:uri="http://purl.org/dc/dcmitype/"/>
  </ds:schemaRefs>
</ds:datastoreItem>
</file>

<file path=customXml/itemProps5.xml><?xml version="1.0" encoding="utf-8"?>
<ds:datastoreItem xmlns:ds="http://schemas.openxmlformats.org/officeDocument/2006/customXml" ds:itemID="{96A693F3-2065-4BF7-B2A5-DA8CA220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cp:lastModifiedBy>Firth, Mike</cp:lastModifiedBy>
  <cp:revision>112</cp:revision>
  <cp:lastPrinted>2019-10-25T13:17:00Z</cp:lastPrinted>
  <dcterms:created xsi:type="dcterms:W3CDTF">2022-02-17T19:40:00Z</dcterms:created>
  <dcterms:modified xsi:type="dcterms:W3CDTF">2025-06-13T14:53:00Z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Snabaitis, Catherine J</vt:lpwstr>
  </property>
  <property fmtid="{D5CDD505-2E9C-101B-9397-08002B2CF9AE}" pid="4" name="Order">
    <vt:lpwstr>1615300.00000000</vt:lpwstr>
  </property>
  <property fmtid="{D5CDD505-2E9C-101B-9397-08002B2CF9AE}" pid="5" name="Document Subject">
    <vt:lpwstr/>
  </property>
  <property fmtid="{D5CDD505-2E9C-101B-9397-08002B2CF9AE}" pid="6" name="display_urn:schemas-microsoft-com:office:office#Author">
    <vt:lpwstr>Williams, Tom</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display_urn:schemas-microsoft-com:office:office#SharedWithUsers">
    <vt:lpwstr>Munalula, Tete</vt:lpwstr>
  </property>
  <property fmtid="{D5CDD505-2E9C-101B-9397-08002B2CF9AE}" pid="11" name="SharedWithUsers">
    <vt:lpwstr>2137;#Munalula, Tete</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KU32729@kingston.ac.uk</vt:lpwstr>
  </property>
  <property fmtid="{D5CDD505-2E9C-101B-9397-08002B2CF9AE}" pid="15" name="MSIP_Label_3b551598-29da-492a-8b9f-8358cd43dd03_SetDate">
    <vt:lpwstr>2022-01-27T15:58:27.1079106Z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d30359e6-17b6-4e02-b822-0f1f7206d686</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ContentTypeId">
    <vt:lpwstr>0x010100AF47C6D639642C4882A310EAFDB93A7F</vt:lpwstr>
  </property>
</Properties>
</file>